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776" w:rsidRPr="00E06F20" w:rsidRDefault="00157A2D" w:rsidP="00BF7776">
      <w:pPr>
        <w:jc w:val="center"/>
        <w:rPr>
          <w:rFonts w:ascii="Cambria" w:hAnsi="Cambria"/>
          <w:b/>
          <w:bCs/>
          <w:sz w:val="24"/>
          <w:szCs w:val="24"/>
          <w:u w:val="single"/>
        </w:rPr>
      </w:pPr>
      <w:bookmarkStart w:id="0" w:name="_GoBack"/>
      <w:bookmarkEnd w:id="0"/>
      <w:r>
        <w:rPr>
          <w:rFonts w:ascii="Cambria" w:hAnsi="Cambria"/>
          <w:b/>
          <w:bCs/>
          <w:sz w:val="24"/>
          <w:szCs w:val="24"/>
          <w:u w:val="single"/>
        </w:rPr>
        <w:t>Supplementary Tables</w:t>
      </w:r>
    </w:p>
    <w:p w:rsidR="00BF7776" w:rsidRPr="004264CD" w:rsidRDefault="00BF7776" w:rsidP="00BF7776">
      <w:pPr>
        <w:jc w:val="center"/>
        <w:rPr>
          <w:rFonts w:ascii="Cambria" w:hAnsi="Cambria"/>
          <w:b/>
          <w:bCs/>
          <w:sz w:val="24"/>
          <w:szCs w:val="24"/>
        </w:rPr>
      </w:pPr>
    </w:p>
    <w:p w:rsidR="00BF7776" w:rsidRPr="004264CD" w:rsidRDefault="00BF7776" w:rsidP="00BF7776">
      <w:pPr>
        <w:rPr>
          <w:rFonts w:ascii="Cambria" w:hAnsi="Cambria"/>
          <w:b/>
          <w:bCs/>
          <w:sz w:val="24"/>
          <w:szCs w:val="24"/>
        </w:rPr>
      </w:pPr>
      <w:r w:rsidRPr="004264CD">
        <w:rPr>
          <w:rFonts w:ascii="Cambria" w:hAnsi="Cambria"/>
          <w:b/>
          <w:bCs/>
          <w:sz w:val="24"/>
          <w:szCs w:val="24"/>
        </w:rPr>
        <w:t xml:space="preserve">50 Years of Iranian </w:t>
      </w:r>
      <w:r w:rsidR="00175B20">
        <w:rPr>
          <w:rFonts w:ascii="Cambria" w:hAnsi="Cambria"/>
          <w:b/>
          <w:bCs/>
          <w:sz w:val="24"/>
          <w:szCs w:val="24"/>
        </w:rPr>
        <w:t xml:space="preserve">clinical, </w:t>
      </w:r>
      <w:r w:rsidRPr="004264CD">
        <w:rPr>
          <w:rFonts w:ascii="Cambria" w:hAnsi="Cambria"/>
          <w:b/>
          <w:bCs/>
          <w:sz w:val="24"/>
          <w:szCs w:val="24"/>
        </w:rPr>
        <w:t>biomedical</w:t>
      </w:r>
      <w:r w:rsidR="00175B20">
        <w:rPr>
          <w:rFonts w:ascii="Cambria" w:hAnsi="Cambria"/>
          <w:b/>
          <w:bCs/>
          <w:sz w:val="24"/>
          <w:szCs w:val="24"/>
        </w:rPr>
        <w:t>,</w:t>
      </w:r>
      <w:r w:rsidRPr="004264CD">
        <w:rPr>
          <w:rFonts w:ascii="Cambria" w:hAnsi="Cambria"/>
          <w:b/>
          <w:bCs/>
          <w:sz w:val="24"/>
          <w:szCs w:val="24"/>
        </w:rPr>
        <w:t xml:space="preserve"> and public health research: A bibliometric analysis of the Web of Science Core Collection (1965-2014)</w:t>
      </w:r>
    </w:p>
    <w:p w:rsidR="00BF7776" w:rsidRPr="004264CD" w:rsidRDefault="00BF7776" w:rsidP="00BF7776">
      <w:pPr>
        <w:rPr>
          <w:rFonts w:ascii="Cambria" w:hAnsi="Cambria" w:cs="Times New Roman"/>
          <w:sz w:val="24"/>
          <w:szCs w:val="24"/>
        </w:rPr>
      </w:pPr>
      <w:r w:rsidRPr="004264CD">
        <w:rPr>
          <w:rFonts w:ascii="Cambria" w:hAnsi="Cambria" w:cs="Times New Roman"/>
          <w:sz w:val="24"/>
          <w:szCs w:val="24"/>
        </w:rPr>
        <w:t>Parisa Mansoori PharmD</w:t>
      </w:r>
      <w:r w:rsidRPr="004264CD">
        <w:rPr>
          <w:rFonts w:ascii="Cambria" w:hAnsi="Cambria" w:cs="Times New Roman"/>
          <w:sz w:val="24"/>
          <w:szCs w:val="24"/>
          <w:vertAlign w:val="superscript"/>
        </w:rPr>
        <w:t>1</w:t>
      </w:r>
    </w:p>
    <w:p w:rsidR="00BF7776" w:rsidRPr="004264CD" w:rsidRDefault="00BF7776" w:rsidP="00BF7776">
      <w:pPr>
        <w:jc w:val="both"/>
        <w:rPr>
          <w:rFonts w:ascii="Cambria" w:hAnsi="Cambria" w:cs="Times New Roman"/>
          <w:i/>
          <w:iCs/>
          <w:sz w:val="24"/>
          <w:szCs w:val="24"/>
        </w:rPr>
      </w:pPr>
      <w:r w:rsidRPr="004264CD">
        <w:rPr>
          <w:rFonts w:ascii="Cambria" w:hAnsi="Cambria" w:cs="Times New Roman"/>
          <w:i/>
          <w:iCs/>
          <w:sz w:val="24"/>
          <w:szCs w:val="24"/>
          <w:vertAlign w:val="superscript"/>
        </w:rPr>
        <w:t>1</w:t>
      </w:r>
      <w:r w:rsidRPr="004264CD">
        <w:rPr>
          <w:rFonts w:ascii="Cambria" w:hAnsi="Cambria" w:cs="Times New Roman"/>
          <w:i/>
          <w:iCs/>
          <w:sz w:val="24"/>
          <w:szCs w:val="24"/>
        </w:rPr>
        <w:t>Centre for Global Health Research, Usher Institute of Population Health Sciences and Informatics, University of Edinburgh, Edinburgh, UK EH8 9AG</w:t>
      </w:r>
    </w:p>
    <w:p w:rsidR="00BF7776" w:rsidRPr="004264CD" w:rsidRDefault="00BF7776">
      <w:pPr>
        <w:rPr>
          <w:rFonts w:ascii="Cambria" w:hAnsi="Cambria" w:cstheme="majorBidi"/>
          <w:bCs/>
        </w:rPr>
      </w:pPr>
    </w:p>
    <w:p w:rsidR="00BF7776" w:rsidRPr="004264CD" w:rsidRDefault="00BF7776" w:rsidP="00BF7776">
      <w:pPr>
        <w:pBdr>
          <w:top w:val="single" w:sz="4" w:space="1" w:color="auto"/>
          <w:left w:val="single" w:sz="4" w:space="4" w:color="auto"/>
          <w:bottom w:val="single" w:sz="4" w:space="1" w:color="auto"/>
          <w:right w:val="single" w:sz="4" w:space="4" w:color="auto"/>
        </w:pBdr>
        <w:rPr>
          <w:rFonts w:ascii="Cambria" w:hAnsi="Cambria" w:cstheme="majorBidi"/>
          <w:b/>
        </w:rPr>
      </w:pPr>
      <w:r w:rsidRPr="004264CD">
        <w:rPr>
          <w:rFonts w:ascii="Cambria" w:hAnsi="Cambria" w:cstheme="majorBidi"/>
          <w:b/>
        </w:rPr>
        <w:t xml:space="preserve">Table S1: </w:t>
      </w:r>
      <w:r w:rsidRPr="004264CD">
        <w:rPr>
          <w:rFonts w:ascii="Cambria" w:hAnsi="Cambria" w:cstheme="majorBidi"/>
          <w:bCs/>
        </w:rPr>
        <w:t>List of the 48 included research areas</w:t>
      </w:r>
    </w:p>
    <w:p w:rsidR="00BF7776" w:rsidRPr="004264CD" w:rsidRDefault="0038677D" w:rsidP="00BF7776">
      <w:pPr>
        <w:pBdr>
          <w:top w:val="single" w:sz="4" w:space="1" w:color="auto"/>
          <w:left w:val="single" w:sz="4" w:space="4" w:color="auto"/>
          <w:bottom w:val="single" w:sz="4" w:space="1" w:color="auto"/>
          <w:right w:val="single" w:sz="4" w:space="4" w:color="auto"/>
        </w:pBdr>
        <w:rPr>
          <w:rFonts w:ascii="Cambria" w:hAnsi="Cambria" w:cstheme="majorBidi"/>
          <w:bCs/>
        </w:rPr>
      </w:pPr>
      <w:r w:rsidRPr="004264CD">
        <w:rPr>
          <w:rFonts w:ascii="Cambria" w:hAnsi="Cambria" w:cstheme="majorBidi"/>
          <w:bCs/>
        </w:rPr>
        <w:t>‘Research Areas’ is a classification scheme aiming to be the indexing backbone by which all WoS produc</w:t>
      </w:r>
      <w:r w:rsidR="00BF7776" w:rsidRPr="004264CD">
        <w:rPr>
          <w:rFonts w:ascii="Cambria" w:hAnsi="Cambria" w:cstheme="majorBidi"/>
          <w:bCs/>
        </w:rPr>
        <w:t>ts have their content classified</w:t>
      </w:r>
      <w:r w:rsidRPr="004264CD">
        <w:rPr>
          <w:rFonts w:ascii="Cambria" w:hAnsi="Cambria" w:cstheme="majorBidi"/>
          <w:bCs/>
        </w:rPr>
        <w:t xml:space="preserve">. The forty-eight included research areas </w:t>
      </w:r>
      <w:r w:rsidR="00BF7776" w:rsidRPr="004264CD">
        <w:rPr>
          <w:rFonts w:ascii="Cambria" w:hAnsi="Cambria" w:cstheme="majorBidi"/>
          <w:bCs/>
        </w:rPr>
        <w:t>were the following:</w:t>
      </w:r>
    </w:p>
    <w:p w:rsidR="00DD3F95" w:rsidRPr="004264CD" w:rsidRDefault="00BF7776" w:rsidP="00BF7776">
      <w:pPr>
        <w:pBdr>
          <w:top w:val="single" w:sz="4" w:space="1" w:color="auto"/>
          <w:left w:val="single" w:sz="4" w:space="4" w:color="auto"/>
          <w:bottom w:val="single" w:sz="4" w:space="1" w:color="auto"/>
          <w:right w:val="single" w:sz="4" w:space="4" w:color="auto"/>
        </w:pBdr>
        <w:jc w:val="both"/>
        <w:rPr>
          <w:rStyle w:val="sqcrefinedby"/>
          <w:rFonts w:ascii="Cambria" w:hAnsi="Cambria" w:cs="Arial"/>
          <w:shd w:val="clear" w:color="auto" w:fill="F8F8F8"/>
        </w:rPr>
      </w:pPr>
      <w:r w:rsidRPr="004264CD">
        <w:rPr>
          <w:rStyle w:val="sqcrefinedby"/>
          <w:rFonts w:ascii="Cambria" w:hAnsi="Cambria" w:cs="Arial"/>
          <w:shd w:val="clear" w:color="auto" w:fill="F8F8F8"/>
        </w:rPr>
        <w:t>PEDIATRICS OR TROPICAL MEDICINE OR UROLOGY NEPHROLOGY OR ENDOCRINOLOGY METABOLISM OR PATHOLOGY OR REPRODUCTIVE BIOLOGY OR RADIOLOGY NUCLEAR MEDICINE MEDICAL IMAGING OR TOXICOLOGY OR PHARMACOLOGY PHARMACY OR LIFE SCIENCES BIOMEDICINE OTHER TOPICS OR ALLERGY OR RESEARCH EXPERIMENTAL MEDICINE OR OBSTETRICS GYNECOLOGY OR PHYSIOLOGY OR GENERAL INTERNAL MEDICINE OR MICROBIOLOGY OR BIOCHEMISTRY MOLECULAR BIOLOGY OR PSYCHIATRY OR HEMATOLOGY OR NEUROSCIENCES NEUROLOGY OR MEDICAL LABORATORY TECHNOLOGY OR GASTROENTEROLOGY HEPATOLOGY OR HEALTH CARE SCIENCES SERVICES OR ORTHOPEDICS OR CELL BIOLOGY OR VIROLOGY OR PUBLIC ENVIRONMENTAL OCCUPATIONAL HEALTH OR GENETICS HEREDITY OR RHEUMATOLOGY OR BIOTECHNOLOGY APPLIED MICROBIOLOGY OR RESPIRATORY SYSTEM OR INFECTIOUS DISEASES OR IMMUNOLOGY OR TRANSPLANTATION OR NUTRITION DIETETICS OR MYCOLOGY OR VETERINARY SCIENCES OR SURGERY OR DENTISTRY ORAL SURGERY MEDICINE OR OPHTHALMOLOGY OR OTORHINOLARYNGOLOGY OR DERMATOLOGY OR REHABILITATION OR NURSING OR INTEGRATIVE COMPLEMENTARY MEDICINE OR ONCOLOGY OR PARASITOLOGY OR CARDIOVASCULAR SYSTEM CARDIOLOGY</w:t>
      </w:r>
    </w:p>
    <w:p w:rsidR="00475AA3" w:rsidRPr="004264CD" w:rsidRDefault="00DD3F95" w:rsidP="00DD3F95">
      <w:pPr>
        <w:rPr>
          <w:rFonts w:ascii="Cambria" w:hAnsi="Cambria" w:cs="Arial"/>
          <w:shd w:val="clear" w:color="auto" w:fill="F8F8F8"/>
        </w:rPr>
      </w:pPr>
      <w:r w:rsidRPr="004264CD">
        <w:rPr>
          <w:rStyle w:val="sqcrefinedby"/>
          <w:rFonts w:ascii="Cambria" w:hAnsi="Cambria" w:cs="Arial"/>
          <w:shd w:val="clear" w:color="auto" w:fill="F8F8F8"/>
        </w:rPr>
        <w:br w:type="page"/>
      </w:r>
    </w:p>
    <w:tbl>
      <w:tblPr>
        <w:tblStyle w:val="TableGrid"/>
        <w:tblW w:w="16018" w:type="dxa"/>
        <w:tblInd w:w="-1139" w:type="dxa"/>
        <w:tblLayout w:type="fixed"/>
        <w:tblLook w:val="04A0" w:firstRow="1" w:lastRow="0" w:firstColumn="1" w:lastColumn="0" w:noHBand="0" w:noVBand="1"/>
      </w:tblPr>
      <w:tblGrid>
        <w:gridCol w:w="567"/>
        <w:gridCol w:w="3544"/>
        <w:gridCol w:w="6662"/>
        <w:gridCol w:w="4395"/>
        <w:gridCol w:w="850"/>
      </w:tblGrid>
      <w:tr w:rsidR="004264CD" w:rsidRPr="004264CD" w:rsidTr="00CC47C1">
        <w:tc>
          <w:tcPr>
            <w:tcW w:w="16018" w:type="dxa"/>
            <w:gridSpan w:val="5"/>
            <w:vAlign w:val="center"/>
          </w:tcPr>
          <w:p w:rsidR="002C04FF" w:rsidRDefault="002C04FF" w:rsidP="00CC47C1">
            <w:pPr>
              <w:tabs>
                <w:tab w:val="right" w:pos="9026"/>
              </w:tabs>
              <w:ind w:right="-108"/>
              <w:rPr>
                <w:rFonts w:asciiTheme="majorBidi" w:hAnsiTheme="majorBidi" w:cstheme="majorBidi"/>
                <w:b/>
                <w:bCs/>
                <w:sz w:val="18"/>
                <w:szCs w:val="18"/>
              </w:rPr>
            </w:pPr>
          </w:p>
          <w:p w:rsidR="00475AA3" w:rsidRPr="004264CD" w:rsidRDefault="00475AA3" w:rsidP="00CC47C1">
            <w:pPr>
              <w:tabs>
                <w:tab w:val="right" w:pos="9026"/>
              </w:tabs>
              <w:ind w:right="-108"/>
              <w:rPr>
                <w:rFonts w:asciiTheme="majorBidi" w:hAnsiTheme="majorBidi" w:cstheme="majorBidi"/>
                <w:sz w:val="18"/>
                <w:szCs w:val="18"/>
              </w:rPr>
            </w:pPr>
            <w:r w:rsidRPr="004264CD">
              <w:rPr>
                <w:rFonts w:asciiTheme="majorBidi" w:hAnsiTheme="majorBidi" w:cstheme="majorBidi"/>
                <w:b/>
                <w:bCs/>
                <w:sz w:val="18"/>
                <w:szCs w:val="18"/>
              </w:rPr>
              <w:t>Table S2</w:t>
            </w:r>
            <w:r w:rsidRPr="003524EC">
              <w:rPr>
                <w:rFonts w:asciiTheme="majorBidi" w:hAnsiTheme="majorBidi" w:cstheme="majorBidi"/>
                <w:b/>
                <w:bCs/>
                <w:sz w:val="18"/>
                <w:szCs w:val="18"/>
                <w:highlight w:val="yellow"/>
              </w:rPr>
              <w:t xml:space="preserve">: </w:t>
            </w:r>
            <w:r w:rsidRPr="003524EC">
              <w:rPr>
                <w:rFonts w:asciiTheme="majorBidi" w:hAnsiTheme="majorBidi" w:cstheme="majorBidi"/>
                <w:sz w:val="18"/>
                <w:szCs w:val="18"/>
                <w:highlight w:val="yellow"/>
              </w:rPr>
              <w:t>List of the 155 Iranian h-core publications (1965-2014), indexed in Web of Science Core Collection, ranked by their year of publication, and then by citation count within each year</w:t>
            </w:r>
          </w:p>
          <w:p w:rsidR="0005443E" w:rsidRPr="004264CD" w:rsidRDefault="0005443E" w:rsidP="00CC47C1">
            <w:pPr>
              <w:tabs>
                <w:tab w:val="right" w:pos="9026"/>
              </w:tabs>
              <w:ind w:right="-108"/>
              <w:rPr>
                <w:rFonts w:asciiTheme="majorBidi" w:hAnsiTheme="majorBidi" w:cstheme="majorBidi"/>
                <w:sz w:val="18"/>
                <w:szCs w:val="18"/>
              </w:rPr>
            </w:pPr>
          </w:p>
          <w:p w:rsidR="00475AA3" w:rsidRPr="004264CD" w:rsidRDefault="00475AA3" w:rsidP="00CC47C1">
            <w:pPr>
              <w:tabs>
                <w:tab w:val="right" w:pos="9026"/>
              </w:tabs>
              <w:ind w:right="-108"/>
              <w:rPr>
                <w:rFonts w:asciiTheme="majorBidi" w:hAnsiTheme="majorBidi" w:cstheme="majorBidi"/>
                <w:sz w:val="18"/>
                <w:szCs w:val="18"/>
              </w:rPr>
            </w:pPr>
            <w:r w:rsidRPr="004264CD">
              <w:rPr>
                <w:rFonts w:asciiTheme="majorBidi" w:hAnsiTheme="majorBidi" w:cstheme="majorBidi"/>
                <w:sz w:val="18"/>
                <w:szCs w:val="18"/>
              </w:rPr>
              <w:t>*Citations were calculated until 28 February, 2018. Citation counts depend on the year of publication and the research field. Higher or lower number of citations to the articles of this list does not represent any superiority/inferiority.</w:t>
            </w:r>
          </w:p>
          <w:p w:rsidR="00475AA3" w:rsidRPr="004264CD" w:rsidRDefault="00475AA3" w:rsidP="00CC47C1">
            <w:pPr>
              <w:rPr>
                <w:rFonts w:asciiTheme="majorBidi" w:hAnsiTheme="majorBidi" w:cstheme="majorBidi"/>
                <w:b/>
                <w:bCs/>
                <w:sz w:val="18"/>
                <w:szCs w:val="18"/>
              </w:rPr>
            </w:pP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b/>
                <w:bCs/>
                <w:sz w:val="18"/>
                <w:szCs w:val="18"/>
              </w:rPr>
            </w:pPr>
            <w:r w:rsidRPr="004264CD">
              <w:rPr>
                <w:rFonts w:asciiTheme="majorBidi" w:hAnsiTheme="majorBidi" w:cstheme="majorBidi"/>
                <w:b/>
                <w:bCs/>
                <w:sz w:val="18"/>
                <w:szCs w:val="18"/>
              </w:rPr>
              <w:t>No.</w:t>
            </w:r>
          </w:p>
        </w:tc>
        <w:tc>
          <w:tcPr>
            <w:tcW w:w="3544" w:type="dxa"/>
            <w:vAlign w:val="center"/>
          </w:tcPr>
          <w:p w:rsidR="00475AA3" w:rsidRPr="004264CD" w:rsidRDefault="00475AA3" w:rsidP="00CC47C1">
            <w:pPr>
              <w:jc w:val="center"/>
              <w:rPr>
                <w:rFonts w:asciiTheme="majorBidi" w:hAnsiTheme="majorBidi" w:cstheme="majorBidi"/>
                <w:b/>
                <w:bCs/>
                <w:sz w:val="18"/>
                <w:szCs w:val="18"/>
              </w:rPr>
            </w:pPr>
            <w:r w:rsidRPr="004264CD">
              <w:rPr>
                <w:rFonts w:asciiTheme="majorBidi" w:hAnsiTheme="majorBidi" w:cstheme="majorBidi"/>
                <w:b/>
                <w:bCs/>
                <w:sz w:val="18"/>
                <w:szCs w:val="18"/>
              </w:rPr>
              <w:t>Authors</w:t>
            </w:r>
          </w:p>
        </w:tc>
        <w:tc>
          <w:tcPr>
            <w:tcW w:w="6662" w:type="dxa"/>
            <w:vAlign w:val="center"/>
          </w:tcPr>
          <w:p w:rsidR="00475AA3" w:rsidRPr="004264CD" w:rsidRDefault="00475AA3" w:rsidP="00CC47C1">
            <w:pPr>
              <w:jc w:val="center"/>
              <w:rPr>
                <w:rFonts w:asciiTheme="majorBidi" w:hAnsiTheme="majorBidi" w:cstheme="majorBidi"/>
                <w:b/>
                <w:bCs/>
                <w:sz w:val="18"/>
                <w:szCs w:val="18"/>
              </w:rPr>
            </w:pPr>
            <w:r w:rsidRPr="004264CD">
              <w:rPr>
                <w:rFonts w:asciiTheme="majorBidi" w:hAnsiTheme="majorBidi" w:cstheme="majorBidi"/>
                <w:b/>
                <w:bCs/>
                <w:sz w:val="18"/>
                <w:szCs w:val="18"/>
              </w:rPr>
              <w:t>Title</w:t>
            </w:r>
          </w:p>
        </w:tc>
        <w:tc>
          <w:tcPr>
            <w:tcW w:w="4395" w:type="dxa"/>
            <w:vAlign w:val="center"/>
          </w:tcPr>
          <w:p w:rsidR="00475AA3" w:rsidRPr="004264CD" w:rsidRDefault="00475AA3" w:rsidP="00CC47C1">
            <w:pPr>
              <w:jc w:val="center"/>
              <w:rPr>
                <w:rFonts w:asciiTheme="majorBidi" w:hAnsiTheme="majorBidi" w:cstheme="majorBidi"/>
                <w:b/>
                <w:bCs/>
                <w:sz w:val="18"/>
                <w:szCs w:val="18"/>
              </w:rPr>
            </w:pPr>
            <w:r w:rsidRPr="004264CD">
              <w:rPr>
                <w:rFonts w:asciiTheme="majorBidi" w:hAnsiTheme="majorBidi" w:cstheme="majorBidi"/>
                <w:b/>
                <w:bCs/>
                <w:sz w:val="18"/>
                <w:szCs w:val="18"/>
              </w:rPr>
              <w:t>Biobliographical Information</w:t>
            </w:r>
          </w:p>
        </w:tc>
        <w:tc>
          <w:tcPr>
            <w:tcW w:w="850" w:type="dxa"/>
            <w:vAlign w:val="center"/>
          </w:tcPr>
          <w:p w:rsidR="00475AA3" w:rsidRPr="004264CD" w:rsidRDefault="00475AA3" w:rsidP="00CC47C1">
            <w:pPr>
              <w:jc w:val="center"/>
              <w:rPr>
                <w:rFonts w:asciiTheme="majorBidi" w:hAnsiTheme="majorBidi" w:cstheme="majorBidi"/>
                <w:b/>
                <w:bCs/>
                <w:sz w:val="18"/>
                <w:szCs w:val="18"/>
              </w:rPr>
            </w:pPr>
            <w:r w:rsidRPr="004264CD">
              <w:rPr>
                <w:rFonts w:asciiTheme="majorBidi" w:hAnsiTheme="majorBidi" w:cstheme="majorBidi"/>
                <w:b/>
                <w:bCs/>
                <w:sz w:val="18"/>
                <w:szCs w:val="18"/>
              </w:rPr>
              <w:t xml:space="preserve">Citation Count* </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Reinhold JG, Nasr K, Lahimgarzadeh A,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Effects of purified phytate and phytate-rich bread upon metabolism of zinc, calcium, phosphorus, and nitrogen in man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The Lancet </w:t>
            </w:r>
            <w:r w:rsidRPr="004264CD">
              <w:rPr>
                <w:rFonts w:asciiTheme="majorBidi" w:hAnsiTheme="majorBidi" w:cstheme="majorBidi"/>
                <w:b/>
                <w:bCs/>
                <w:sz w:val="18"/>
                <w:szCs w:val="18"/>
              </w:rPr>
              <w:t>1973</w:t>
            </w:r>
            <w:r w:rsidRPr="004264CD">
              <w:rPr>
                <w:rFonts w:asciiTheme="majorBidi" w:hAnsiTheme="majorBidi" w:cstheme="majorBidi"/>
                <w:sz w:val="18"/>
                <w:szCs w:val="18"/>
              </w:rPr>
              <w:t>;1(7798):283-288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237</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Reinhold JG, Ismailbeigi F, Faradji B</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Fiber vs phytate as determinant of availability of calcium, zinc and iron of breadstuffs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Nutrition Reports International </w:t>
            </w:r>
            <w:r w:rsidRPr="004264CD">
              <w:rPr>
                <w:rFonts w:asciiTheme="majorBidi" w:hAnsiTheme="majorBidi" w:cstheme="majorBidi"/>
                <w:b/>
                <w:bCs/>
                <w:sz w:val="18"/>
                <w:szCs w:val="18"/>
              </w:rPr>
              <w:t>1975</w:t>
            </w:r>
            <w:r w:rsidRPr="004264CD">
              <w:rPr>
                <w:rFonts w:asciiTheme="majorBidi" w:hAnsiTheme="majorBidi" w:cstheme="majorBidi"/>
                <w:sz w:val="18"/>
                <w:szCs w:val="18"/>
              </w:rPr>
              <w:t>;12(2):75-85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179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Reinhold JG, Faradji B, Abadi P,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Decreased absorption of calcium, magnesium, zinc and phosphorus by humans due to increased fiber and phosphorus consumption as wheat bread</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Nutrition </w:t>
            </w:r>
            <w:r w:rsidRPr="004264CD">
              <w:rPr>
                <w:rFonts w:asciiTheme="majorBidi" w:hAnsiTheme="majorBidi" w:cstheme="majorBidi"/>
                <w:b/>
                <w:bCs/>
                <w:sz w:val="18"/>
                <w:szCs w:val="18"/>
              </w:rPr>
              <w:t>1976</w:t>
            </w:r>
            <w:r w:rsidRPr="004264CD">
              <w:rPr>
                <w:rFonts w:asciiTheme="majorBidi" w:hAnsiTheme="majorBidi" w:cstheme="majorBidi"/>
                <w:sz w:val="18"/>
                <w:szCs w:val="18"/>
              </w:rPr>
              <w:t>;106(4):493-503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314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Cook-Mozaffari PJ, Azordegan F, Day NE,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Oesophageal cancer studies in the Caspian Littoral of Iran: results of a case-control study</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British Journal of Cancer </w:t>
            </w:r>
            <w:r w:rsidRPr="004264CD">
              <w:rPr>
                <w:rFonts w:asciiTheme="majorBidi" w:hAnsiTheme="majorBidi" w:cstheme="majorBidi"/>
                <w:b/>
                <w:bCs/>
                <w:sz w:val="18"/>
                <w:szCs w:val="18"/>
              </w:rPr>
              <w:t>1979</w:t>
            </w:r>
            <w:r w:rsidRPr="004264CD">
              <w:rPr>
                <w:rFonts w:asciiTheme="majorBidi" w:hAnsiTheme="majorBidi" w:cstheme="majorBidi"/>
                <w:sz w:val="18"/>
                <w:szCs w:val="18"/>
              </w:rPr>
              <w:t>;39(3):293-309</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201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5</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Lee SJ, Monsef M, Torabinejad M.</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Sealing ability of a mineral trioxide aggregate for repair of lateral root perforations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Endodontics </w:t>
            </w:r>
            <w:r w:rsidRPr="004264CD">
              <w:rPr>
                <w:rFonts w:asciiTheme="majorBidi" w:hAnsiTheme="majorBidi" w:cstheme="majorBidi"/>
                <w:b/>
                <w:bCs/>
                <w:sz w:val="18"/>
                <w:szCs w:val="18"/>
              </w:rPr>
              <w:t>1993</w:t>
            </w:r>
            <w:r w:rsidRPr="004264CD">
              <w:rPr>
                <w:rFonts w:asciiTheme="majorBidi" w:hAnsiTheme="majorBidi" w:cstheme="majorBidi"/>
                <w:sz w:val="18"/>
                <w:szCs w:val="18"/>
              </w:rPr>
              <w:t>;19(11):541-544</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363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6</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Torabinejad M</w:t>
            </w:r>
            <w:r w:rsidRPr="004264CD">
              <w:rPr>
                <w:rFonts w:asciiTheme="majorBidi" w:hAnsiTheme="majorBidi" w:cstheme="majorBidi"/>
                <w:sz w:val="18"/>
                <w:szCs w:val="18"/>
                <w:vertAlign w:val="superscript"/>
              </w:rPr>
              <w:t xml:space="preserve"> </w:t>
            </w:r>
            <w:r w:rsidRPr="004264CD">
              <w:rPr>
                <w:rFonts w:asciiTheme="majorBidi" w:hAnsiTheme="majorBidi" w:cstheme="majorBidi"/>
                <w:sz w:val="18"/>
                <w:szCs w:val="18"/>
              </w:rPr>
              <w:t>, Hong CU, Lee SJ,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Investigation of mineral trioxide aggregate for root-end filling in dogs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Endodontics </w:t>
            </w:r>
            <w:r w:rsidRPr="004264CD">
              <w:rPr>
                <w:rFonts w:asciiTheme="majorBidi" w:hAnsiTheme="majorBidi" w:cstheme="majorBidi"/>
                <w:b/>
                <w:bCs/>
                <w:sz w:val="18"/>
                <w:szCs w:val="18"/>
              </w:rPr>
              <w:t>1995</w:t>
            </w:r>
            <w:r w:rsidRPr="004264CD">
              <w:rPr>
                <w:rFonts w:asciiTheme="majorBidi" w:hAnsiTheme="majorBidi" w:cstheme="majorBidi"/>
                <w:sz w:val="18"/>
                <w:szCs w:val="18"/>
              </w:rPr>
              <w:t>;21(12):603-608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235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7</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Torabinejad M, Rastegar AF, Kettering JD,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Bacterial leakage of mineral trioxide aggregate as a root-end filling material</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Endodontics </w:t>
            </w:r>
            <w:r w:rsidRPr="004264CD">
              <w:rPr>
                <w:rFonts w:asciiTheme="majorBidi" w:hAnsiTheme="majorBidi" w:cstheme="majorBidi"/>
                <w:b/>
                <w:bCs/>
                <w:sz w:val="18"/>
                <w:szCs w:val="18"/>
              </w:rPr>
              <w:t>1995</w:t>
            </w:r>
            <w:r w:rsidRPr="004264CD">
              <w:rPr>
                <w:rFonts w:asciiTheme="majorBidi" w:hAnsiTheme="majorBidi" w:cstheme="majorBidi"/>
                <w:sz w:val="18"/>
                <w:szCs w:val="18"/>
              </w:rPr>
              <w:t>;21(3):109-112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207</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8</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Wilson RC, Krozowski ZS, Li K,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 mutation in the HSD11B2 gene in a family with apparent mineralocorticoid excess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Clinical Endocrinology &amp; Metabolism </w:t>
            </w:r>
            <w:r w:rsidRPr="004264CD">
              <w:rPr>
                <w:rFonts w:asciiTheme="majorBidi" w:hAnsiTheme="majorBidi" w:cstheme="majorBidi"/>
                <w:b/>
                <w:bCs/>
                <w:sz w:val="18"/>
                <w:szCs w:val="18"/>
              </w:rPr>
              <w:t>1995</w:t>
            </w:r>
            <w:r w:rsidRPr="004264CD">
              <w:rPr>
                <w:rFonts w:asciiTheme="majorBidi" w:hAnsiTheme="majorBidi" w:cstheme="majorBidi"/>
                <w:sz w:val="18"/>
                <w:szCs w:val="18"/>
              </w:rPr>
              <w:t>;80(7):2263-2266</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189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9</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Singh RB, Niaz MA, Sharma JP,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Randomized, double-blind, placebo-controlled trial of fish oil and mustard oil in patients with suspectedacute myocardial infarction: the Indian experiment of infarct survival--4</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Cardiovascular drugs and Therapy </w:t>
            </w:r>
            <w:r w:rsidRPr="004264CD">
              <w:rPr>
                <w:rFonts w:asciiTheme="majorBidi" w:hAnsiTheme="majorBidi" w:cstheme="majorBidi"/>
                <w:b/>
                <w:bCs/>
                <w:sz w:val="18"/>
                <w:szCs w:val="18"/>
              </w:rPr>
              <w:t>1997</w:t>
            </w:r>
            <w:r w:rsidRPr="004264CD">
              <w:rPr>
                <w:rFonts w:asciiTheme="majorBidi" w:hAnsiTheme="majorBidi" w:cstheme="majorBidi"/>
                <w:sz w:val="18"/>
                <w:szCs w:val="18"/>
              </w:rPr>
              <w:t>;11(3):485-491</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342</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10</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Berden JHM, Madias NE, Broumand B,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Lupus nephritis – Discussion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Kidney International </w:t>
            </w:r>
            <w:r w:rsidRPr="004264CD">
              <w:rPr>
                <w:rFonts w:asciiTheme="majorBidi" w:hAnsiTheme="majorBidi" w:cstheme="majorBidi"/>
                <w:b/>
                <w:bCs/>
                <w:sz w:val="18"/>
                <w:szCs w:val="18"/>
              </w:rPr>
              <w:t>1997</w:t>
            </w:r>
            <w:r w:rsidRPr="004264CD">
              <w:rPr>
                <w:rFonts w:asciiTheme="majorBidi" w:hAnsiTheme="majorBidi" w:cstheme="majorBidi"/>
                <w:sz w:val="18"/>
                <w:szCs w:val="18"/>
              </w:rPr>
              <w:t>;52(2):538-558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159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11</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shd w:val="clear" w:color="auto" w:fill="FFFFFF"/>
              </w:rPr>
              <w:t>Sharifi I,</w:t>
            </w:r>
            <w:r w:rsidRPr="004264CD">
              <w:rPr>
                <w:rStyle w:val="apple-converted-space"/>
                <w:rFonts w:asciiTheme="majorBidi" w:hAnsiTheme="majorBidi" w:cstheme="majorBidi"/>
                <w:sz w:val="18"/>
                <w:szCs w:val="18"/>
                <w:shd w:val="clear" w:color="auto" w:fill="FFFFFF"/>
              </w:rPr>
              <w:t> </w:t>
            </w:r>
            <w:r w:rsidRPr="004264CD">
              <w:rPr>
                <w:rFonts w:asciiTheme="majorBidi" w:hAnsiTheme="majorBidi" w:cstheme="majorBidi"/>
                <w:sz w:val="18"/>
                <w:szCs w:val="18"/>
                <w:shd w:val="clear" w:color="auto" w:fill="FFFFFF"/>
              </w:rPr>
              <w:t>FeKri AR,</w:t>
            </w:r>
            <w:r w:rsidRPr="004264CD">
              <w:rPr>
                <w:rStyle w:val="apple-converted-space"/>
                <w:rFonts w:asciiTheme="majorBidi" w:hAnsiTheme="majorBidi" w:cstheme="majorBidi"/>
                <w:sz w:val="18"/>
                <w:szCs w:val="18"/>
                <w:shd w:val="clear" w:color="auto" w:fill="FFFFFF"/>
              </w:rPr>
              <w:t> </w:t>
            </w:r>
            <w:r w:rsidRPr="004264CD">
              <w:rPr>
                <w:rFonts w:asciiTheme="majorBidi" w:hAnsiTheme="majorBidi" w:cstheme="majorBidi"/>
                <w:sz w:val="18"/>
                <w:szCs w:val="18"/>
                <w:shd w:val="clear" w:color="auto" w:fill="FFFFFF"/>
              </w:rPr>
              <w:t>Aflatonian MR,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Randomised vaccine trial of single dose of killed Leishmania major plus BCG against anthroponoticcutaneous leishmaniasis in Bam, Iran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The Lancet </w:t>
            </w:r>
            <w:r w:rsidRPr="004264CD">
              <w:rPr>
                <w:rFonts w:asciiTheme="majorBidi" w:hAnsiTheme="majorBidi" w:cstheme="majorBidi"/>
                <w:b/>
                <w:bCs/>
                <w:sz w:val="18"/>
                <w:szCs w:val="18"/>
              </w:rPr>
              <w:t>1998</w:t>
            </w:r>
            <w:r w:rsidRPr="004264CD">
              <w:rPr>
                <w:rFonts w:asciiTheme="majorBidi" w:hAnsiTheme="majorBidi" w:cstheme="majorBidi"/>
                <w:sz w:val="18"/>
                <w:szCs w:val="18"/>
              </w:rPr>
              <w:t>;351(9115):1540-1543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12</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Hurvitz JR, Suwairi WM, Van Hul W,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Mutations in the CCN gene family member WISP3 cause progressive pseudorheumatoid dysplasia</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Nature Genetics </w:t>
            </w:r>
            <w:r w:rsidRPr="004264CD">
              <w:rPr>
                <w:rFonts w:asciiTheme="majorBidi" w:hAnsiTheme="majorBidi" w:cstheme="majorBidi"/>
                <w:b/>
                <w:bCs/>
                <w:sz w:val="18"/>
                <w:szCs w:val="18"/>
              </w:rPr>
              <w:t>1999</w:t>
            </w:r>
            <w:r w:rsidRPr="004264CD">
              <w:rPr>
                <w:rFonts w:asciiTheme="majorBidi" w:hAnsiTheme="majorBidi" w:cstheme="majorBidi"/>
                <w:sz w:val="18"/>
                <w:szCs w:val="18"/>
              </w:rPr>
              <w:t>;23(1):94-98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13</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Sadeghi H, Allard P, Prince F,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Symmetry and limb dominance in able-bodied gait: a review</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Gait &amp; Posture </w:t>
            </w:r>
            <w:r w:rsidRPr="004264CD">
              <w:rPr>
                <w:rFonts w:asciiTheme="majorBidi" w:hAnsiTheme="majorBidi" w:cstheme="majorBidi"/>
                <w:b/>
                <w:bCs/>
                <w:sz w:val="18"/>
                <w:szCs w:val="18"/>
              </w:rPr>
              <w:t>2000</w:t>
            </w:r>
            <w:r w:rsidRPr="004264CD">
              <w:rPr>
                <w:rFonts w:asciiTheme="majorBidi" w:hAnsiTheme="majorBidi" w:cstheme="majorBidi"/>
                <w:sz w:val="18"/>
                <w:szCs w:val="18"/>
              </w:rPr>
              <w:t>;12(1):34-45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391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14</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Salehizadeh H, Shojaosadati SA</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Extracellular biopolymeric flocculants. Recent trends and biotechnological importance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Biotechnology Advances </w:t>
            </w:r>
            <w:r w:rsidRPr="004264CD">
              <w:rPr>
                <w:rFonts w:asciiTheme="majorBidi" w:hAnsiTheme="majorBidi" w:cstheme="majorBidi"/>
                <w:b/>
                <w:bCs/>
                <w:sz w:val="18"/>
                <w:szCs w:val="18"/>
              </w:rPr>
              <w:t>2001</w:t>
            </w:r>
            <w:r w:rsidRPr="004264CD">
              <w:rPr>
                <w:rFonts w:asciiTheme="majorBidi" w:hAnsiTheme="majorBidi" w:cstheme="majorBidi"/>
                <w:sz w:val="18"/>
                <w:szCs w:val="18"/>
              </w:rPr>
              <w:t>; 19(5):371-385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264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15</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Montazeri A, Milroy R, Hole D,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Quality of life in lung cancer patients - As an important prognostic factor</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Lung Cancer </w:t>
            </w:r>
            <w:r w:rsidRPr="004264CD">
              <w:rPr>
                <w:rFonts w:asciiTheme="majorBidi" w:hAnsiTheme="majorBidi" w:cstheme="majorBidi"/>
                <w:b/>
                <w:bCs/>
                <w:sz w:val="18"/>
                <w:szCs w:val="18"/>
              </w:rPr>
              <w:t>2001</w:t>
            </w:r>
            <w:r w:rsidRPr="004264CD">
              <w:rPr>
                <w:rFonts w:asciiTheme="majorBidi" w:hAnsiTheme="majorBidi" w:cstheme="majorBidi"/>
                <w:sz w:val="18"/>
                <w:szCs w:val="18"/>
              </w:rPr>
              <w:t>;31(2-3):233-240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159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Galati G, Sabzevari O, Wilson JX,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Prooxidant activity and cellular effects of the phenoxyl radicals of dietary flavonoids and other polyphenolics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Toxicology </w:t>
            </w:r>
            <w:r w:rsidRPr="004264CD">
              <w:rPr>
                <w:rFonts w:asciiTheme="majorBidi" w:hAnsiTheme="majorBidi" w:cstheme="majorBidi"/>
                <w:b/>
                <w:bCs/>
                <w:sz w:val="18"/>
                <w:szCs w:val="18"/>
              </w:rPr>
              <w:t>2002;</w:t>
            </w:r>
            <w:r w:rsidRPr="004264CD">
              <w:rPr>
                <w:rFonts w:asciiTheme="majorBidi" w:hAnsiTheme="majorBidi" w:cstheme="majorBidi"/>
                <w:sz w:val="18"/>
                <w:szCs w:val="18"/>
              </w:rPr>
              <w:t>177(1):91-104</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344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17</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Azizi F, Rahmani M, Emami H,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Cardiovascular risk factors in an Iranian urban population: Tehran Lipid and Glucose Study (Phase 1)</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Sozial- und Präventivmedizin </w:t>
            </w:r>
            <w:r w:rsidRPr="004264CD">
              <w:rPr>
                <w:rFonts w:asciiTheme="majorBidi" w:hAnsiTheme="majorBidi" w:cstheme="majorBidi"/>
                <w:b/>
                <w:bCs/>
                <w:sz w:val="18"/>
                <w:szCs w:val="18"/>
              </w:rPr>
              <w:t>2002</w:t>
            </w:r>
            <w:r w:rsidRPr="004264CD">
              <w:rPr>
                <w:rFonts w:asciiTheme="majorBidi" w:hAnsiTheme="majorBidi" w:cstheme="majorBidi"/>
                <w:sz w:val="18"/>
                <w:szCs w:val="18"/>
              </w:rPr>
              <w:t>;47(6):408-426</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269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18</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Ghassemi H, Harrison G, Mohammad K</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An accelerated nutrition transition in Iran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Public Health Nutrition </w:t>
            </w:r>
            <w:r w:rsidRPr="004264CD">
              <w:rPr>
                <w:rFonts w:asciiTheme="majorBidi" w:hAnsiTheme="majorBidi" w:cstheme="majorBidi"/>
                <w:b/>
                <w:bCs/>
                <w:sz w:val="18"/>
                <w:szCs w:val="18"/>
              </w:rPr>
              <w:t>2002</w:t>
            </w:r>
            <w:r w:rsidRPr="004264CD">
              <w:rPr>
                <w:rFonts w:asciiTheme="majorBidi" w:hAnsiTheme="majorBidi" w:cstheme="majorBidi"/>
                <w:sz w:val="18"/>
                <w:szCs w:val="18"/>
              </w:rPr>
              <w:t>;5(1A):149-155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233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19</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shd w:val="clear" w:color="auto" w:fill="FFFFFF"/>
              </w:rPr>
              <w:t>Ghiassi-nejad M,</w:t>
            </w:r>
            <w:r w:rsidRPr="004264CD">
              <w:rPr>
                <w:rStyle w:val="apple-converted-space"/>
                <w:rFonts w:asciiTheme="majorBidi" w:hAnsiTheme="majorBidi" w:cstheme="majorBidi"/>
                <w:sz w:val="18"/>
                <w:szCs w:val="18"/>
                <w:shd w:val="clear" w:color="auto" w:fill="FFFFFF"/>
              </w:rPr>
              <w:t> </w:t>
            </w:r>
            <w:r w:rsidRPr="004264CD">
              <w:rPr>
                <w:rFonts w:asciiTheme="majorBidi" w:hAnsiTheme="majorBidi" w:cstheme="majorBidi"/>
                <w:sz w:val="18"/>
                <w:szCs w:val="18"/>
                <w:shd w:val="clear" w:color="auto" w:fill="FFFFFF"/>
              </w:rPr>
              <w:t>Mortazavi SM,</w:t>
            </w:r>
            <w:r w:rsidRPr="004264CD">
              <w:rPr>
                <w:rStyle w:val="apple-converted-space"/>
                <w:rFonts w:asciiTheme="majorBidi" w:hAnsiTheme="majorBidi" w:cstheme="majorBidi"/>
                <w:sz w:val="18"/>
                <w:szCs w:val="18"/>
                <w:shd w:val="clear" w:color="auto" w:fill="FFFFFF"/>
              </w:rPr>
              <w:t> </w:t>
            </w:r>
            <w:r w:rsidRPr="004264CD">
              <w:rPr>
                <w:rFonts w:asciiTheme="majorBidi" w:hAnsiTheme="majorBidi" w:cstheme="majorBidi"/>
                <w:sz w:val="18"/>
                <w:szCs w:val="18"/>
                <w:shd w:val="clear" w:color="auto" w:fill="FFFFFF"/>
              </w:rPr>
              <w:t>Cameron JR</w:t>
            </w:r>
            <w:r w:rsidRPr="004264CD">
              <w:rPr>
                <w:rFonts w:asciiTheme="majorBidi" w:hAnsiTheme="majorBidi" w:cstheme="majorBidi"/>
                <w:sz w:val="18"/>
                <w:szCs w:val="18"/>
              </w:rPr>
              <w:t>,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Very high background radiation areas of Ramsar, Iran: Preliminary biological studies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Health Physics </w:t>
            </w:r>
            <w:r w:rsidRPr="004264CD">
              <w:rPr>
                <w:rFonts w:asciiTheme="majorBidi" w:hAnsiTheme="majorBidi" w:cstheme="majorBidi"/>
                <w:b/>
                <w:bCs/>
                <w:sz w:val="18"/>
                <w:szCs w:val="18"/>
              </w:rPr>
              <w:t>2002</w:t>
            </w:r>
            <w:r w:rsidRPr="004264CD">
              <w:rPr>
                <w:rFonts w:asciiTheme="majorBidi" w:hAnsiTheme="majorBidi" w:cstheme="majorBidi"/>
                <w:sz w:val="18"/>
                <w:szCs w:val="18"/>
              </w:rPr>
              <w:t>;82(1):87-93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168</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20</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Javanmardi J, Stushnoff C, Locke E,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Antioxidant activity and total phenolic content of Iranian Ocimum accessions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Food Chemistry </w:t>
            </w:r>
            <w:r w:rsidRPr="004264CD">
              <w:rPr>
                <w:rFonts w:asciiTheme="majorBidi" w:hAnsiTheme="majorBidi" w:cstheme="majorBidi"/>
                <w:b/>
                <w:bCs/>
                <w:sz w:val="18"/>
                <w:szCs w:val="18"/>
              </w:rPr>
              <w:t>2003</w:t>
            </w:r>
            <w:r w:rsidRPr="004264CD">
              <w:rPr>
                <w:rFonts w:asciiTheme="majorBidi" w:hAnsiTheme="majorBidi" w:cstheme="majorBidi"/>
                <w:sz w:val="18"/>
                <w:szCs w:val="18"/>
              </w:rPr>
              <w:t>;83(4):547-550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306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21</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Azizi, F, Salehi, P, Etemadi, A,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Prevalence of metabolic syndrome in an urban population: Tehran Lipid and Glucose Study</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Diabetes Research and Clinical Practice </w:t>
            </w:r>
            <w:r w:rsidRPr="004264CD">
              <w:rPr>
                <w:rFonts w:asciiTheme="majorBidi" w:hAnsiTheme="majorBidi" w:cstheme="majorBidi"/>
                <w:b/>
                <w:bCs/>
                <w:sz w:val="18"/>
                <w:szCs w:val="18"/>
              </w:rPr>
              <w:t>2003</w:t>
            </w:r>
            <w:r w:rsidRPr="004264CD">
              <w:rPr>
                <w:rFonts w:asciiTheme="majorBidi" w:hAnsiTheme="majorBidi" w:cstheme="majorBidi"/>
                <w:sz w:val="18"/>
                <w:szCs w:val="18"/>
              </w:rPr>
              <w:t>;61(1):29-37</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275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22</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shd w:val="clear" w:color="auto" w:fill="FFFFFF"/>
              </w:rPr>
              <w:t>Chen L,</w:t>
            </w:r>
            <w:r w:rsidRPr="004264CD">
              <w:rPr>
                <w:rStyle w:val="apple-converted-space"/>
                <w:rFonts w:asciiTheme="majorBidi" w:hAnsiTheme="majorBidi" w:cstheme="majorBidi"/>
                <w:sz w:val="18"/>
                <w:szCs w:val="18"/>
                <w:shd w:val="clear" w:color="auto" w:fill="FFFFFF"/>
              </w:rPr>
              <w:t> </w:t>
            </w:r>
            <w:r w:rsidRPr="004264CD">
              <w:rPr>
                <w:rFonts w:asciiTheme="majorBidi" w:hAnsiTheme="majorBidi" w:cstheme="majorBidi"/>
                <w:sz w:val="18"/>
                <w:szCs w:val="18"/>
                <w:shd w:val="clear" w:color="auto" w:fill="FFFFFF"/>
              </w:rPr>
              <w:t>Lee L,</w:t>
            </w:r>
            <w:r w:rsidRPr="004264CD">
              <w:rPr>
                <w:rStyle w:val="apple-converted-space"/>
                <w:rFonts w:asciiTheme="majorBidi" w:hAnsiTheme="majorBidi" w:cstheme="majorBidi"/>
                <w:sz w:val="18"/>
                <w:szCs w:val="18"/>
                <w:shd w:val="clear" w:color="auto" w:fill="FFFFFF"/>
              </w:rPr>
              <w:t> </w:t>
            </w:r>
            <w:r w:rsidRPr="004264CD">
              <w:rPr>
                <w:rFonts w:asciiTheme="majorBidi" w:hAnsiTheme="majorBidi" w:cstheme="majorBidi"/>
                <w:sz w:val="18"/>
                <w:szCs w:val="18"/>
                <w:shd w:val="clear" w:color="auto" w:fill="FFFFFF"/>
              </w:rPr>
              <w:t>Kudlow BA</w:t>
            </w:r>
            <w:r w:rsidRPr="004264CD">
              <w:rPr>
                <w:rFonts w:asciiTheme="majorBidi" w:hAnsiTheme="majorBidi" w:cstheme="majorBidi"/>
                <w:sz w:val="18"/>
                <w:szCs w:val="18"/>
              </w:rPr>
              <w:t>,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LMNA mutations in atypical Werner's syndrome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The Lancet </w:t>
            </w:r>
            <w:r w:rsidRPr="004264CD">
              <w:rPr>
                <w:rFonts w:asciiTheme="majorBidi" w:hAnsiTheme="majorBidi" w:cstheme="majorBidi"/>
                <w:b/>
                <w:bCs/>
                <w:sz w:val="18"/>
                <w:szCs w:val="18"/>
              </w:rPr>
              <w:t>2003</w:t>
            </w:r>
            <w:r w:rsidRPr="004264CD">
              <w:rPr>
                <w:rFonts w:asciiTheme="majorBidi" w:hAnsiTheme="majorBidi" w:cstheme="majorBidi"/>
                <w:sz w:val="18"/>
                <w:szCs w:val="18"/>
              </w:rPr>
              <w:t>;362(9382):440-445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251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lastRenderedPageBreak/>
              <w:t>23</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Abdollahi M, Cushman M, Rosendaal FR</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Obesity: risk of venous thrombosis and the interaction with coagulation factor levels and oral contraceptive use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Thrombosis and Haemostasis </w:t>
            </w:r>
            <w:r w:rsidRPr="004264CD">
              <w:rPr>
                <w:rFonts w:asciiTheme="majorBidi" w:hAnsiTheme="majorBidi" w:cstheme="majorBidi"/>
                <w:b/>
                <w:bCs/>
                <w:sz w:val="18"/>
                <w:szCs w:val="18"/>
              </w:rPr>
              <w:t>2003</w:t>
            </w:r>
            <w:r w:rsidRPr="004264CD">
              <w:rPr>
                <w:rFonts w:asciiTheme="majorBidi" w:hAnsiTheme="majorBidi" w:cstheme="majorBidi"/>
                <w:sz w:val="18"/>
                <w:szCs w:val="18"/>
              </w:rPr>
              <w:t>;89(3):493-498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250</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24</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 Vessal M, Hemmati M, Vasei M</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Antidiabetic effects of quercetin in streptozocin-induced diabetic rats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Comparative Biochemistry and Physiology - Part C: Toxicology &amp; Pharmacology </w:t>
            </w:r>
            <w:r w:rsidRPr="004264CD">
              <w:rPr>
                <w:rFonts w:asciiTheme="majorBidi" w:hAnsiTheme="majorBidi" w:cstheme="majorBidi"/>
                <w:b/>
                <w:bCs/>
                <w:sz w:val="18"/>
                <w:szCs w:val="18"/>
              </w:rPr>
              <w:t>2003</w:t>
            </w:r>
            <w:r w:rsidRPr="004264CD">
              <w:rPr>
                <w:rFonts w:asciiTheme="majorBidi" w:hAnsiTheme="majorBidi" w:cstheme="majorBidi"/>
                <w:sz w:val="18"/>
                <w:szCs w:val="18"/>
              </w:rPr>
              <w:t>;135(3):357-364</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238</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25</w:t>
            </w:r>
          </w:p>
        </w:tc>
        <w:tc>
          <w:tcPr>
            <w:tcW w:w="3544" w:type="dxa"/>
            <w:vAlign w:val="center"/>
          </w:tcPr>
          <w:p w:rsidR="00475AA3" w:rsidRPr="004264CD" w:rsidRDefault="00475AA3" w:rsidP="00CC47C1">
            <w:pPr>
              <w:rPr>
                <w:rFonts w:asciiTheme="majorBidi" w:hAnsiTheme="majorBidi" w:cstheme="majorBidi"/>
                <w:sz w:val="18"/>
                <w:szCs w:val="18"/>
                <w:shd w:val="clear" w:color="auto" w:fill="F8F8F8"/>
              </w:rPr>
            </w:pPr>
            <w:r w:rsidRPr="004264CD">
              <w:rPr>
                <w:rFonts w:asciiTheme="majorBidi" w:eastAsia="Times New Roman" w:hAnsiTheme="majorBidi" w:cstheme="majorBidi"/>
                <w:sz w:val="18"/>
                <w:szCs w:val="18"/>
                <w:lang w:eastAsia="en-GB"/>
              </w:rPr>
              <w:t>Torabinejad M, Khademi AA, Babagoli J,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 new solution for the removal of the smear layer</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Endodontics </w:t>
            </w:r>
            <w:r w:rsidRPr="004264CD">
              <w:rPr>
                <w:rFonts w:asciiTheme="majorBidi" w:hAnsiTheme="majorBidi" w:cstheme="majorBidi"/>
                <w:b/>
                <w:bCs/>
                <w:sz w:val="18"/>
                <w:szCs w:val="18"/>
              </w:rPr>
              <w:t>2003</w:t>
            </w:r>
            <w:r w:rsidRPr="004264CD">
              <w:rPr>
                <w:rFonts w:asciiTheme="majorBidi" w:hAnsiTheme="majorBidi" w:cstheme="majorBidi"/>
                <w:sz w:val="18"/>
                <w:szCs w:val="18"/>
              </w:rPr>
              <w:t>; 29(3):170-175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227</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26</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Khateri S, Ghanei M, Keshavarz S,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Incidence of lung, eye, and skin lesions as late complications in 34,000 Iranians with wartime exposure to mustard agent</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Occupational and Environmental Medicine </w:t>
            </w:r>
            <w:r w:rsidRPr="004264CD">
              <w:rPr>
                <w:rFonts w:asciiTheme="majorBidi" w:hAnsiTheme="majorBidi" w:cstheme="majorBidi"/>
                <w:b/>
                <w:bCs/>
                <w:sz w:val="18"/>
                <w:szCs w:val="18"/>
              </w:rPr>
              <w:t>2003</w:t>
            </w:r>
            <w:r w:rsidRPr="004264CD">
              <w:rPr>
                <w:rFonts w:asciiTheme="majorBidi" w:hAnsiTheme="majorBidi" w:cstheme="majorBidi"/>
                <w:sz w:val="18"/>
                <w:szCs w:val="18"/>
              </w:rPr>
              <w:t>;45(11):1136-1143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184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27</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Akhgari M, Abdollahi M, Kebryaeezadeh A,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Biochemical evidence for free radical-induced lipid peroxidation as a mechanism for subchronic toxicity of malathion in blood and liver of rats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Human &amp; Experimental Toxicology </w:t>
            </w:r>
            <w:r w:rsidRPr="004264CD">
              <w:rPr>
                <w:rFonts w:asciiTheme="majorBidi" w:hAnsiTheme="majorBidi" w:cstheme="majorBidi"/>
                <w:b/>
                <w:bCs/>
                <w:sz w:val="18"/>
                <w:szCs w:val="18"/>
              </w:rPr>
              <w:t>2003</w:t>
            </w:r>
            <w:r w:rsidRPr="004264CD">
              <w:rPr>
                <w:rFonts w:asciiTheme="majorBidi" w:hAnsiTheme="majorBidi" w:cstheme="majorBidi"/>
                <w:sz w:val="18"/>
                <w:szCs w:val="18"/>
              </w:rPr>
              <w:t>;22(4): 205-211</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182</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28</w:t>
            </w:r>
          </w:p>
        </w:tc>
        <w:tc>
          <w:tcPr>
            <w:tcW w:w="3544" w:type="dxa"/>
            <w:vAlign w:val="center"/>
          </w:tcPr>
          <w:p w:rsidR="00475AA3" w:rsidRPr="004264CD" w:rsidRDefault="00475AA3" w:rsidP="00CC47C1">
            <w:pPr>
              <w:rPr>
                <w:rFonts w:asciiTheme="majorBidi" w:hAnsiTheme="majorBidi" w:cstheme="majorBidi"/>
                <w:sz w:val="18"/>
                <w:szCs w:val="18"/>
                <w:shd w:val="clear" w:color="auto" w:fill="F8F8F8"/>
              </w:rPr>
            </w:pPr>
            <w:r w:rsidRPr="004264CD">
              <w:rPr>
                <w:rFonts w:asciiTheme="majorBidi" w:eastAsia="Times New Roman" w:hAnsiTheme="majorBidi" w:cstheme="majorBidi"/>
                <w:sz w:val="18"/>
                <w:szCs w:val="18"/>
                <w:lang w:eastAsia="en-GB"/>
              </w:rPr>
              <w:t>Zendehdel K, Nyren O, Ostenson CG,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Cancer incidence in patients with type 1 diabetes mellitus: A population-based cohort study in Sweden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the National Cancer Institute </w:t>
            </w:r>
            <w:r w:rsidRPr="004264CD">
              <w:rPr>
                <w:rFonts w:asciiTheme="majorBidi" w:hAnsiTheme="majorBidi" w:cstheme="majorBidi"/>
                <w:b/>
                <w:bCs/>
                <w:sz w:val="18"/>
                <w:szCs w:val="18"/>
              </w:rPr>
              <w:t>2003</w:t>
            </w:r>
            <w:r w:rsidRPr="004264CD">
              <w:rPr>
                <w:rFonts w:asciiTheme="majorBidi" w:hAnsiTheme="majorBidi" w:cstheme="majorBidi"/>
                <w:sz w:val="18"/>
                <w:szCs w:val="18"/>
              </w:rPr>
              <w:t>;95(23):1797-1800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29</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Sarraf-Zadegan N, Sadri G, Afzali HM,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Isfahan Healthy Heart Programme: a comprehensive integrated community-based programme for cardiovascular disease prevention and control. Design, methods and initial experience</w:t>
            </w:r>
          </w:p>
        </w:tc>
        <w:tc>
          <w:tcPr>
            <w:tcW w:w="4395" w:type="dxa"/>
            <w:vAlign w:val="center"/>
          </w:tcPr>
          <w:p w:rsidR="00475AA3" w:rsidRPr="004264CD" w:rsidRDefault="00475AA3" w:rsidP="00CC47C1">
            <w:pPr>
              <w:rPr>
                <w:rFonts w:asciiTheme="majorBidi" w:hAnsiTheme="majorBidi" w:cstheme="majorBidi"/>
                <w:sz w:val="18"/>
                <w:szCs w:val="18"/>
              </w:rPr>
            </w:pPr>
          </w:p>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Acta cardiologica </w:t>
            </w:r>
            <w:r w:rsidRPr="004264CD">
              <w:rPr>
                <w:rFonts w:asciiTheme="majorBidi" w:hAnsiTheme="majorBidi" w:cstheme="majorBidi"/>
                <w:b/>
                <w:bCs/>
                <w:sz w:val="18"/>
                <w:szCs w:val="18"/>
              </w:rPr>
              <w:t>2003</w:t>
            </w:r>
            <w:r w:rsidRPr="004264CD">
              <w:rPr>
                <w:rFonts w:asciiTheme="majorBidi" w:hAnsiTheme="majorBidi" w:cstheme="majorBidi"/>
                <w:sz w:val="18"/>
                <w:szCs w:val="18"/>
              </w:rPr>
              <w:t>;95(4):309-320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157</w:t>
            </w:r>
          </w:p>
        </w:tc>
      </w:tr>
      <w:tr w:rsidR="004264CD" w:rsidRPr="004264CD" w:rsidTr="00CC47C1">
        <w:trPr>
          <w:trHeight w:val="498"/>
        </w:trPr>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30</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Muzha I, Filipi N, Lede R,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Effect of intravenous corticosteroids on death within 14 days in 10008 adults with clinically significant head injury (MRC CRASH trial): randomised placebo-controlled trial</w:t>
            </w:r>
          </w:p>
        </w:tc>
        <w:tc>
          <w:tcPr>
            <w:tcW w:w="4395" w:type="dxa"/>
            <w:vAlign w:val="center"/>
          </w:tcPr>
          <w:p w:rsidR="00475AA3" w:rsidRPr="004264CD" w:rsidRDefault="00475AA3" w:rsidP="00CC47C1">
            <w:pPr>
              <w:shd w:val="clear" w:color="auto" w:fill="FFFFFF"/>
              <w:spacing w:before="90" w:after="90"/>
              <w:outlineLvl w:val="0"/>
              <w:rPr>
                <w:rFonts w:asciiTheme="majorBidi" w:hAnsiTheme="majorBidi" w:cstheme="majorBidi"/>
                <w:sz w:val="18"/>
                <w:szCs w:val="18"/>
              </w:rPr>
            </w:pPr>
            <w:r w:rsidRPr="004264CD">
              <w:rPr>
                <w:rFonts w:asciiTheme="majorBidi" w:hAnsiTheme="majorBidi" w:cstheme="majorBidi"/>
                <w:sz w:val="18"/>
                <w:szCs w:val="18"/>
              </w:rPr>
              <w:t xml:space="preserve">The Lancet </w:t>
            </w:r>
            <w:r w:rsidRPr="004264CD">
              <w:rPr>
                <w:rFonts w:asciiTheme="majorBidi" w:hAnsiTheme="majorBidi" w:cstheme="majorBidi"/>
                <w:b/>
                <w:bCs/>
                <w:sz w:val="18"/>
                <w:szCs w:val="18"/>
              </w:rPr>
              <w:t>2004</w:t>
            </w:r>
            <w:r w:rsidRPr="004264CD">
              <w:rPr>
                <w:rFonts w:asciiTheme="majorBidi" w:hAnsiTheme="majorBidi" w:cstheme="majorBidi"/>
                <w:sz w:val="18"/>
                <w:szCs w:val="18"/>
              </w:rPr>
              <w:t>;364(9442):1321-1328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470</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31</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Abdollahi M, Ranjbar A, Shadnia S,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Pesticides and oxidative stress: a review</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Medical Science Monitor </w:t>
            </w:r>
            <w:r w:rsidRPr="004264CD">
              <w:rPr>
                <w:rFonts w:asciiTheme="majorBidi" w:hAnsiTheme="majorBidi" w:cstheme="majorBidi"/>
                <w:b/>
                <w:bCs/>
                <w:sz w:val="18"/>
                <w:szCs w:val="18"/>
              </w:rPr>
              <w:t>2004</w:t>
            </w:r>
            <w:r w:rsidRPr="004264CD">
              <w:rPr>
                <w:rFonts w:asciiTheme="majorBidi" w:hAnsiTheme="majorBidi" w:cstheme="majorBidi"/>
                <w:sz w:val="18"/>
                <w:szCs w:val="18"/>
              </w:rPr>
              <w:t>;10(6):</w:t>
            </w:r>
            <w:r w:rsidRPr="004264CD">
              <w:rPr>
                <w:rFonts w:asciiTheme="majorBidi" w:hAnsiTheme="majorBidi" w:cstheme="majorBidi"/>
                <w:sz w:val="18"/>
                <w:szCs w:val="18"/>
                <w:shd w:val="clear" w:color="auto" w:fill="F8F8F8"/>
              </w:rPr>
              <w:t xml:space="preserve"> RA141-RA147</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312</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32</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Almasirad A, Tabatabai SA, Faizi M,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Synthesis and anticonvulsant activity of new 2-substituted-5-[2-(2-fluorophenoxy)phenyl]-1,3,4-oxadiazoles and 1,2,4-triazoles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Bioorganic &amp; Medicinal Chemistry Letters </w:t>
            </w:r>
            <w:r w:rsidRPr="004264CD">
              <w:rPr>
                <w:rFonts w:asciiTheme="majorBidi" w:hAnsiTheme="majorBidi" w:cstheme="majorBidi"/>
                <w:b/>
                <w:bCs/>
                <w:sz w:val="18"/>
                <w:szCs w:val="18"/>
              </w:rPr>
              <w:t>2004</w:t>
            </w:r>
            <w:r w:rsidRPr="004264CD">
              <w:rPr>
                <w:rFonts w:asciiTheme="majorBidi" w:hAnsiTheme="majorBidi" w:cstheme="majorBidi"/>
                <w:sz w:val="18"/>
                <w:szCs w:val="18"/>
              </w:rPr>
              <w:t>;14(4):6057-6059</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224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33</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Siebenrock KA, Wahab KHA, Werlen S,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Abnormal extension of the femoral head epiphysis as a cause of cam impingement</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Clinical Orthopaedics and Related Research </w:t>
            </w:r>
            <w:r w:rsidRPr="004264CD">
              <w:rPr>
                <w:rFonts w:asciiTheme="majorBidi" w:hAnsiTheme="majorBidi" w:cstheme="majorBidi"/>
                <w:b/>
                <w:bCs/>
                <w:sz w:val="18"/>
                <w:szCs w:val="18"/>
              </w:rPr>
              <w:t>2004</w:t>
            </w:r>
            <w:r w:rsidRPr="004264CD">
              <w:rPr>
                <w:rFonts w:asciiTheme="majorBidi" w:hAnsiTheme="majorBidi" w:cstheme="majorBidi"/>
                <w:sz w:val="18"/>
                <w:szCs w:val="18"/>
              </w:rPr>
              <w:t>;418:54-60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209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34</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Ahmadian G, Ju W, Liu LD,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Tyrosine phosphorylation of GluR2 is required for insulin-stimulated AMPA receptor endocytosis and LTD</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EMBO Journal </w:t>
            </w:r>
            <w:r w:rsidRPr="004264CD">
              <w:rPr>
                <w:rFonts w:asciiTheme="majorBidi" w:hAnsiTheme="majorBidi" w:cstheme="majorBidi"/>
                <w:b/>
                <w:bCs/>
                <w:sz w:val="18"/>
                <w:szCs w:val="18"/>
              </w:rPr>
              <w:t>2004</w:t>
            </w:r>
            <w:r w:rsidRPr="004264CD">
              <w:rPr>
                <w:rFonts w:asciiTheme="majorBidi" w:hAnsiTheme="majorBidi" w:cstheme="majorBidi"/>
                <w:sz w:val="18"/>
                <w:szCs w:val="18"/>
              </w:rPr>
              <w:t>;23(5):1040-1050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35</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Noorbala AA, Yazdi SAB, Yasamy MT,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br/>
              <w:t>Mental health survey of the adult population in Iran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British Journal of Psychiatry </w:t>
            </w:r>
            <w:r w:rsidRPr="004264CD">
              <w:rPr>
                <w:rFonts w:asciiTheme="majorBidi" w:hAnsiTheme="majorBidi" w:cstheme="majorBidi"/>
                <w:b/>
                <w:bCs/>
                <w:sz w:val="18"/>
                <w:szCs w:val="18"/>
              </w:rPr>
              <w:t>2004</w:t>
            </w:r>
            <w:r w:rsidRPr="004264CD">
              <w:rPr>
                <w:rFonts w:asciiTheme="majorBidi" w:hAnsiTheme="majorBidi" w:cstheme="majorBidi"/>
                <w:sz w:val="18"/>
                <w:szCs w:val="18"/>
              </w:rPr>
              <w:t>; 184: 70-73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36</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Reilly JJ, Armstrong J, Dorosty AR,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Early life risk factors for obesity in childhood: cohort study</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British Medical Journal </w:t>
            </w:r>
            <w:r w:rsidRPr="004264CD">
              <w:rPr>
                <w:rFonts w:asciiTheme="majorBidi" w:hAnsiTheme="majorBidi" w:cstheme="majorBidi"/>
                <w:b/>
                <w:bCs/>
                <w:sz w:val="18"/>
                <w:szCs w:val="18"/>
              </w:rPr>
              <w:t>2005</w:t>
            </w:r>
            <w:r w:rsidRPr="004264CD">
              <w:rPr>
                <w:rFonts w:asciiTheme="majorBidi" w:hAnsiTheme="majorBidi" w:cstheme="majorBidi"/>
                <w:sz w:val="18"/>
                <w:szCs w:val="18"/>
              </w:rPr>
              <w:t>;330(7504):1357-1359</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847</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37</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Rahimi R, Nikfar S, Larijani B,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 review on the role of antioxidants in the management of diabetes and its complications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Biomedicine &amp; Pharmacotherapy </w:t>
            </w:r>
            <w:r w:rsidRPr="004264CD">
              <w:rPr>
                <w:rFonts w:asciiTheme="majorBidi" w:hAnsiTheme="majorBidi" w:cstheme="majorBidi"/>
                <w:b/>
                <w:bCs/>
                <w:sz w:val="18"/>
                <w:szCs w:val="18"/>
              </w:rPr>
              <w:t>2005</w:t>
            </w:r>
            <w:r w:rsidRPr="004264CD">
              <w:rPr>
                <w:rFonts w:asciiTheme="majorBidi" w:hAnsiTheme="majorBidi" w:cstheme="majorBidi"/>
                <w:sz w:val="18"/>
                <w:szCs w:val="18"/>
              </w:rPr>
              <w:t>;59(7):365-373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411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38</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Enayati AA, Ranson H, Hemingway J</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Insect glutathione transferases and insecticide resistance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Insect Molecular Biology </w:t>
            </w:r>
            <w:r w:rsidRPr="004264CD">
              <w:rPr>
                <w:rFonts w:asciiTheme="majorBidi" w:hAnsiTheme="majorBidi" w:cstheme="majorBidi"/>
                <w:b/>
                <w:bCs/>
                <w:sz w:val="18"/>
                <w:szCs w:val="18"/>
              </w:rPr>
              <w:t>2005</w:t>
            </w:r>
            <w:r w:rsidRPr="004264CD">
              <w:rPr>
                <w:rFonts w:asciiTheme="majorBidi" w:hAnsiTheme="majorBidi" w:cstheme="majorBidi"/>
                <w:sz w:val="18"/>
                <w:szCs w:val="18"/>
              </w:rPr>
              <w:t>; 14(1):3-8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353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39</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Montazeri A, Goshtasebi A, Vahdaninia M,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The Short Form Health Survey (SF-36): translation and validation study of the Iranian version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Quality of Life Research </w:t>
            </w:r>
            <w:r w:rsidRPr="004264CD">
              <w:rPr>
                <w:rFonts w:asciiTheme="majorBidi" w:hAnsiTheme="majorBidi" w:cstheme="majorBidi"/>
                <w:b/>
                <w:bCs/>
                <w:sz w:val="18"/>
                <w:szCs w:val="18"/>
              </w:rPr>
              <w:t>2005</w:t>
            </w:r>
            <w:r w:rsidRPr="004264CD">
              <w:rPr>
                <w:rFonts w:asciiTheme="majorBidi" w:hAnsiTheme="majorBidi" w:cstheme="majorBidi"/>
                <w:sz w:val="18"/>
                <w:szCs w:val="18"/>
              </w:rPr>
              <w:t>;14(3):875-882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319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40</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Abdolmaleky, HM; Cheng, KH; Russo, A;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Hypermethylation of the reelin (RELN) promoter in the brain of schizophrenic patients: A preliminary report</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American Journal of Medical Genetics Part B: Neuropsychiatric Genetics </w:t>
            </w:r>
            <w:r w:rsidRPr="004264CD">
              <w:rPr>
                <w:rFonts w:asciiTheme="majorBidi" w:hAnsiTheme="majorBidi" w:cstheme="majorBidi"/>
                <w:b/>
                <w:bCs/>
                <w:sz w:val="18"/>
                <w:szCs w:val="18"/>
              </w:rPr>
              <w:t>2005</w:t>
            </w:r>
            <w:r w:rsidRPr="004264CD">
              <w:rPr>
                <w:rFonts w:asciiTheme="majorBidi" w:hAnsiTheme="majorBidi" w:cstheme="majorBidi"/>
                <w:sz w:val="18"/>
                <w:szCs w:val="18"/>
              </w:rPr>
              <w:t>;134B(1):60-66</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267</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41</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Azadbakht L, Mirmiran P, Esmailzadeh A,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Beneficial effects of a Dietary Approaches to Stop Hypertension eating plan on features of the metabolic syndrome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Diabetes Care </w:t>
            </w:r>
            <w:r w:rsidRPr="004264CD">
              <w:rPr>
                <w:rFonts w:asciiTheme="majorBidi" w:hAnsiTheme="majorBidi" w:cstheme="majorBidi"/>
                <w:b/>
                <w:bCs/>
                <w:sz w:val="18"/>
                <w:szCs w:val="18"/>
              </w:rPr>
              <w:t>2005</w:t>
            </w:r>
            <w:r w:rsidRPr="004264CD">
              <w:rPr>
                <w:rFonts w:asciiTheme="majorBidi" w:hAnsiTheme="majorBidi" w:cstheme="majorBidi"/>
                <w:sz w:val="18"/>
                <w:szCs w:val="18"/>
              </w:rPr>
              <w:t>;28(12):2823-2831</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251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42</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Azadbakht L, Mirmiran P, Esmailzadeh A,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Dairy consumption is inversely associated with the prevalence of the metabolic syndrome inTehranian adults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American Journal of Clinical Nutrition </w:t>
            </w:r>
            <w:r w:rsidRPr="004264CD">
              <w:rPr>
                <w:rFonts w:asciiTheme="majorBidi" w:hAnsiTheme="majorBidi" w:cstheme="majorBidi"/>
                <w:b/>
                <w:bCs/>
                <w:sz w:val="18"/>
                <w:szCs w:val="18"/>
              </w:rPr>
              <w:t>2005</w:t>
            </w:r>
            <w:r w:rsidRPr="004264CD">
              <w:rPr>
                <w:rFonts w:asciiTheme="majorBidi" w:hAnsiTheme="majorBidi" w:cstheme="majorBidi"/>
                <w:sz w:val="18"/>
                <w:szCs w:val="18"/>
              </w:rPr>
              <w:t>;82(3):523-530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222</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43</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Enver T, Soneji S, Joshi C,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Cellular differentiation hierarchies in normal and culture-adapted human embryonic stem cells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Human Molecular Genetics </w:t>
            </w:r>
            <w:r w:rsidRPr="004264CD">
              <w:rPr>
                <w:rFonts w:asciiTheme="majorBidi" w:hAnsiTheme="majorBidi" w:cstheme="majorBidi"/>
                <w:b/>
                <w:bCs/>
                <w:sz w:val="18"/>
                <w:szCs w:val="18"/>
              </w:rPr>
              <w:t>2005</w:t>
            </w:r>
            <w:r w:rsidRPr="004264CD">
              <w:rPr>
                <w:rFonts w:asciiTheme="majorBidi" w:hAnsiTheme="majorBidi" w:cstheme="majorBidi"/>
                <w:sz w:val="18"/>
                <w:szCs w:val="18"/>
              </w:rPr>
              <w:t>;14(21):3129-3140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195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44</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Bertolote JM, Fleischmann A, De Leo D</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Suicide attempts, plans, and ideation in culturally diverse sites: the WHOSUPRE-MISS community survey</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Psychological Medicine </w:t>
            </w:r>
            <w:r w:rsidRPr="004264CD">
              <w:rPr>
                <w:rFonts w:asciiTheme="majorBidi" w:hAnsiTheme="majorBidi" w:cstheme="majorBidi"/>
                <w:b/>
                <w:bCs/>
                <w:sz w:val="18"/>
                <w:szCs w:val="18"/>
              </w:rPr>
              <w:t>2005</w:t>
            </w:r>
            <w:r w:rsidRPr="004264CD">
              <w:rPr>
                <w:rFonts w:asciiTheme="majorBidi" w:hAnsiTheme="majorBidi" w:cstheme="majorBidi"/>
                <w:sz w:val="18"/>
                <w:szCs w:val="18"/>
              </w:rPr>
              <w:t>;35(10):1457-1465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176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lastRenderedPageBreak/>
              <w:t>45</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Bonab MM, Alimoghaddam K, Talebian F,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Aging of mesenchymal stem cell in vitro</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BMC Cell Biology </w:t>
            </w:r>
            <w:r w:rsidRPr="004264CD">
              <w:rPr>
                <w:rFonts w:asciiTheme="majorBidi" w:hAnsiTheme="majorBidi" w:cstheme="majorBidi"/>
                <w:b/>
                <w:bCs/>
                <w:sz w:val="18"/>
                <w:szCs w:val="18"/>
              </w:rPr>
              <w:t>2006</w:t>
            </w:r>
            <w:r w:rsidRPr="004264CD">
              <w:rPr>
                <w:rFonts w:asciiTheme="majorBidi" w:hAnsiTheme="majorBidi" w:cstheme="majorBidi"/>
                <w:sz w:val="18"/>
                <w:szCs w:val="18"/>
              </w:rPr>
              <w:t>;7(14)</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360</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46</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Safavi A, Maleki N, Moradlou O,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Simultaneous determination of dopamine, ascorbic acid, and uric acid using carbon ionic liquid electrode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Analytical Biochemistry </w:t>
            </w:r>
            <w:r w:rsidRPr="004264CD">
              <w:rPr>
                <w:rFonts w:asciiTheme="majorBidi" w:hAnsiTheme="majorBidi" w:cstheme="majorBidi"/>
                <w:b/>
                <w:bCs/>
                <w:sz w:val="18"/>
                <w:szCs w:val="18"/>
              </w:rPr>
              <w:t>2006</w:t>
            </w:r>
            <w:r w:rsidRPr="004264CD">
              <w:rPr>
                <w:rFonts w:asciiTheme="majorBidi" w:hAnsiTheme="majorBidi" w:cstheme="majorBidi"/>
                <w:sz w:val="18"/>
                <w:szCs w:val="18"/>
              </w:rPr>
              <w:t>;359(2):224-229</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301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47</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Barter, PJ; Ballantyne, CM; Carmena, R;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Apo B versus cholesterol in estimating cardiovascular risk and in guiding therapy: report of the thirty-person/ten-country panel</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Internal Medicine </w:t>
            </w:r>
            <w:r w:rsidRPr="004264CD">
              <w:rPr>
                <w:rFonts w:asciiTheme="majorBidi" w:hAnsiTheme="majorBidi" w:cstheme="majorBidi"/>
                <w:b/>
                <w:bCs/>
                <w:sz w:val="18"/>
                <w:szCs w:val="18"/>
              </w:rPr>
              <w:t>2006</w:t>
            </w:r>
            <w:r w:rsidRPr="004264CD">
              <w:rPr>
                <w:rFonts w:asciiTheme="majorBidi" w:hAnsiTheme="majorBidi" w:cstheme="majorBidi"/>
                <w:sz w:val="18"/>
                <w:szCs w:val="18"/>
              </w:rPr>
              <w:t>;259(3):247-258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280</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48</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Abdolmaleky HM, Cheng KH, Faraone SV,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Hypomethylation of MB-COMT promoter is a major risk factor for schizophrenia and bipolar disorder</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Human Molecular Genetics </w:t>
            </w:r>
            <w:r w:rsidRPr="004264CD">
              <w:rPr>
                <w:rFonts w:asciiTheme="majorBidi" w:hAnsiTheme="majorBidi" w:cstheme="majorBidi"/>
                <w:b/>
                <w:bCs/>
                <w:sz w:val="18"/>
                <w:szCs w:val="18"/>
              </w:rPr>
              <w:t>2006</w:t>
            </w:r>
            <w:r w:rsidRPr="004264CD">
              <w:rPr>
                <w:rFonts w:asciiTheme="majorBidi" w:hAnsiTheme="majorBidi" w:cstheme="majorBidi"/>
                <w:sz w:val="18"/>
                <w:szCs w:val="18"/>
              </w:rPr>
              <w:t>;15(21):3132-3145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276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49</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Pourmorad F, Hosseinimehr SJ, Shahabimajd N</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Antioxidant activity, phenol and flavonoid contents of some selected Iranian medicinal plants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African Journal of Biotechnology </w:t>
            </w:r>
            <w:r w:rsidRPr="004264CD">
              <w:rPr>
                <w:rFonts w:asciiTheme="majorBidi" w:hAnsiTheme="majorBidi" w:cstheme="majorBidi"/>
                <w:b/>
                <w:bCs/>
                <w:sz w:val="18"/>
                <w:szCs w:val="18"/>
              </w:rPr>
              <w:t>2006</w:t>
            </w:r>
            <w:r w:rsidRPr="004264CD">
              <w:rPr>
                <w:rFonts w:asciiTheme="majorBidi" w:hAnsiTheme="majorBidi" w:cstheme="majorBidi"/>
                <w:sz w:val="18"/>
                <w:szCs w:val="18"/>
              </w:rPr>
              <w:t>;5(11):1142-1145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266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50</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Esmaillzadeh A, Kimiagar M, Mehrabi Y,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Fruit and vegetable intakes, C-reactive protein, and the metabolic syndromes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The American Journal of Clinical Nutrition </w:t>
            </w:r>
            <w:r w:rsidRPr="004264CD">
              <w:rPr>
                <w:rFonts w:asciiTheme="majorBidi" w:hAnsiTheme="majorBidi" w:cstheme="majorBidi"/>
                <w:b/>
                <w:bCs/>
                <w:sz w:val="18"/>
                <w:szCs w:val="18"/>
              </w:rPr>
              <w:t>2006</w:t>
            </w:r>
            <w:r w:rsidRPr="004264CD">
              <w:rPr>
                <w:rFonts w:asciiTheme="majorBidi" w:hAnsiTheme="majorBidi" w:cstheme="majorBidi"/>
                <w:sz w:val="18"/>
                <w:szCs w:val="18"/>
              </w:rPr>
              <w:t>;84(6):1489-1497</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235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51</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Went P, Vasei M, Bubendorf L,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Frequent high-level expression of the immunotherapeutic target Ep-CAM in colon, stomach, prostate and lung cancers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British Journal of Cancer </w:t>
            </w:r>
            <w:r w:rsidRPr="004264CD">
              <w:rPr>
                <w:rFonts w:asciiTheme="majorBidi" w:hAnsiTheme="majorBidi" w:cstheme="majorBidi"/>
                <w:b/>
                <w:bCs/>
                <w:sz w:val="18"/>
                <w:szCs w:val="18"/>
              </w:rPr>
              <w:t>2006</w:t>
            </w:r>
            <w:r w:rsidRPr="004264CD">
              <w:rPr>
                <w:rFonts w:asciiTheme="majorBidi" w:hAnsiTheme="majorBidi" w:cstheme="majorBidi"/>
                <w:sz w:val="18"/>
                <w:szCs w:val="18"/>
              </w:rPr>
              <w:t>;94(1):128-135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216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52</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Eidi A, Eidi M, Esmaeili E</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br/>
              <w:t>Antidiabetic effect of garlic (Allium sativum L.) in normal and streptozotocin-induced diabetic rats</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Phytomedicine </w:t>
            </w:r>
            <w:r w:rsidRPr="004264CD">
              <w:rPr>
                <w:rFonts w:asciiTheme="majorBidi" w:eastAsia="Times New Roman" w:hAnsiTheme="majorBidi" w:cstheme="majorBidi"/>
                <w:b/>
                <w:bCs/>
                <w:sz w:val="18"/>
                <w:szCs w:val="18"/>
                <w:lang w:eastAsia="en-GB"/>
              </w:rPr>
              <w:t>2006</w:t>
            </w:r>
            <w:r w:rsidRPr="004264CD">
              <w:rPr>
                <w:rFonts w:asciiTheme="majorBidi" w:eastAsia="Times New Roman" w:hAnsiTheme="majorBidi" w:cstheme="majorBidi"/>
                <w:sz w:val="18"/>
                <w:szCs w:val="18"/>
                <w:lang w:eastAsia="en-GB"/>
              </w:rPr>
              <w:t>;13(9-10):624-629</w:t>
            </w:r>
          </w:p>
          <w:p w:rsidR="00475AA3" w:rsidRPr="004264CD" w:rsidRDefault="00475AA3" w:rsidP="00CC47C1">
            <w:pPr>
              <w:rPr>
                <w:rFonts w:asciiTheme="majorBidi" w:eastAsia="Times New Roman" w:hAnsiTheme="majorBidi" w:cstheme="majorBidi"/>
                <w:sz w:val="18"/>
                <w:szCs w:val="18"/>
                <w:lang w:eastAsia="en-GB"/>
              </w:rPr>
            </w:pPr>
          </w:p>
          <w:p w:rsidR="00475AA3" w:rsidRPr="004264CD" w:rsidRDefault="00475AA3" w:rsidP="00CC47C1">
            <w:pPr>
              <w:rPr>
                <w:rFonts w:asciiTheme="majorBidi" w:hAnsiTheme="majorBidi" w:cstheme="majorBidi"/>
                <w:sz w:val="18"/>
                <w:szCs w:val="18"/>
              </w:rPr>
            </w:pP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eastAsia="Times New Roman" w:hAnsiTheme="majorBidi" w:cstheme="majorBidi"/>
                <w:sz w:val="18"/>
                <w:szCs w:val="18"/>
                <w:lang w:eastAsia="en-GB"/>
              </w:rPr>
              <w:t>163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53</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shd w:val="clear" w:color="auto" w:fill="F8F8F8"/>
              </w:rPr>
              <w:t>Hamidi M, Azadi A, Rafiei P</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Pharmacokinetic consequences of pegylation</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 xml:space="preserve">Drug Delivery </w:t>
            </w:r>
            <w:r w:rsidRPr="004264CD">
              <w:rPr>
                <w:rFonts w:asciiTheme="majorBidi" w:hAnsiTheme="majorBidi" w:cstheme="majorBidi"/>
                <w:b/>
                <w:bCs/>
                <w:sz w:val="18"/>
                <w:szCs w:val="18"/>
              </w:rPr>
              <w:t>2006</w:t>
            </w:r>
            <w:r w:rsidRPr="004264CD">
              <w:rPr>
                <w:rFonts w:asciiTheme="majorBidi" w:hAnsiTheme="majorBidi" w:cstheme="majorBidi"/>
                <w:sz w:val="18"/>
                <w:szCs w:val="18"/>
              </w:rPr>
              <w:t>;13(6):399-409</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hAnsiTheme="majorBidi" w:cstheme="majorBidi"/>
                <w:sz w:val="18"/>
                <w:szCs w:val="18"/>
              </w:rPr>
              <w:t>161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54</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Shahverdi AR, Fakhimi A, Shahverdi HR, et al.</w:t>
            </w:r>
          </w:p>
          <w:p w:rsidR="00475AA3" w:rsidRPr="004264CD" w:rsidRDefault="00475AA3" w:rsidP="00CC47C1">
            <w:pPr>
              <w:rPr>
                <w:rFonts w:asciiTheme="majorBidi" w:eastAsia="Times New Roman" w:hAnsiTheme="majorBidi" w:cstheme="majorBidi"/>
                <w:sz w:val="18"/>
                <w:szCs w:val="18"/>
                <w:lang w:eastAsia="en-GB"/>
              </w:rPr>
            </w:pP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Synthesis and effect of oxidative a new</w:t>
            </w:r>
          </w:p>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dinar nanoparticles on the antibacterial activity of different antibiotics against Staphylococcus aureus and Escherichia coli</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Nanomedicine: Nanotechnology, Biology and Medicine </w:t>
            </w:r>
            <w:r w:rsidRPr="004264CD">
              <w:rPr>
                <w:rFonts w:asciiTheme="majorBidi" w:hAnsiTheme="majorBidi" w:cstheme="majorBidi"/>
                <w:b/>
                <w:bCs/>
                <w:sz w:val="18"/>
                <w:szCs w:val="18"/>
              </w:rPr>
              <w:t>2007</w:t>
            </w:r>
            <w:r w:rsidRPr="004264CD">
              <w:rPr>
                <w:rFonts w:asciiTheme="majorBidi" w:hAnsiTheme="majorBidi" w:cstheme="majorBidi"/>
                <w:sz w:val="18"/>
                <w:szCs w:val="18"/>
              </w:rPr>
              <w:t>;3(2):168-171</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531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55</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Janghorbani M, Van Dam RM, Willett WC,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Systematic review of type 1 and type 2 diabetes mellitus and risk of fracture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American Journal of Epidemiology </w:t>
            </w:r>
            <w:r w:rsidRPr="004264CD">
              <w:rPr>
                <w:rFonts w:asciiTheme="majorBidi" w:hAnsiTheme="majorBidi" w:cstheme="majorBidi"/>
                <w:b/>
                <w:bCs/>
                <w:sz w:val="18"/>
                <w:szCs w:val="18"/>
              </w:rPr>
              <w:t>2007</w:t>
            </w:r>
            <w:r w:rsidRPr="004264CD">
              <w:rPr>
                <w:rFonts w:asciiTheme="majorBidi" w:hAnsiTheme="majorBidi" w:cstheme="majorBidi"/>
                <w:sz w:val="18"/>
                <w:szCs w:val="18"/>
              </w:rPr>
              <w:t>;166(5):495-505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459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56</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Hedayati MT, Pasqualotto AC, Warn PA,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Aspergillus flavus: human pathogen, allergen and mycotoxin producer</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Microbiology </w:t>
            </w:r>
            <w:r w:rsidRPr="004264CD">
              <w:rPr>
                <w:rFonts w:asciiTheme="majorBidi" w:hAnsiTheme="majorBidi" w:cstheme="majorBidi"/>
                <w:b/>
                <w:bCs/>
                <w:sz w:val="18"/>
                <w:szCs w:val="18"/>
              </w:rPr>
              <w:t>2007</w:t>
            </w:r>
            <w:r w:rsidRPr="004264CD">
              <w:rPr>
                <w:rFonts w:asciiTheme="majorBidi" w:hAnsiTheme="majorBidi" w:cstheme="majorBidi"/>
                <w:sz w:val="18"/>
                <w:szCs w:val="18"/>
              </w:rPr>
              <w:t>;153(Pt6):1677-1692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319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57</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Goodman Robert L, Lehman, Michael N, Smith Jeremy T,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Kisspeptin neurons in the arcuate nucleus of the ewe express both dynorphin a and neurokinin B</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Endocrinology </w:t>
            </w:r>
            <w:r w:rsidRPr="004264CD">
              <w:rPr>
                <w:rFonts w:asciiTheme="majorBidi" w:hAnsiTheme="majorBidi" w:cstheme="majorBidi"/>
                <w:b/>
                <w:bCs/>
                <w:sz w:val="18"/>
                <w:szCs w:val="18"/>
              </w:rPr>
              <w:t>2007</w:t>
            </w:r>
            <w:r w:rsidRPr="004264CD">
              <w:rPr>
                <w:rFonts w:asciiTheme="majorBidi" w:hAnsiTheme="majorBidi" w:cstheme="majorBidi"/>
                <w:sz w:val="18"/>
                <w:szCs w:val="18"/>
              </w:rPr>
              <w:t>;148(12):5752-5760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319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58</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Kelishadi R</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Childhood overweight, obesity, and the metabolic syndrome in developing countries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Epidemiologic Reviews </w:t>
            </w:r>
            <w:r w:rsidRPr="004264CD">
              <w:rPr>
                <w:rFonts w:asciiTheme="majorBidi" w:hAnsiTheme="majorBidi" w:cstheme="majorBidi"/>
                <w:b/>
                <w:bCs/>
                <w:sz w:val="18"/>
                <w:szCs w:val="18"/>
              </w:rPr>
              <w:t>2007</w:t>
            </w:r>
            <w:r w:rsidRPr="004264CD">
              <w:rPr>
                <w:rFonts w:asciiTheme="majorBidi" w:hAnsiTheme="majorBidi" w:cstheme="majorBidi"/>
                <w:sz w:val="18"/>
                <w:szCs w:val="18"/>
              </w:rPr>
              <w:t>;29:62-76</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308</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59</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Farooqi IS, Wangensteen T, Collins S,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Clinical and molecular genetic spectrum of congenitaldeficiency of the leptin receptor</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New England Journal of Medicine </w:t>
            </w:r>
            <w:r w:rsidRPr="004264CD">
              <w:rPr>
                <w:rFonts w:asciiTheme="majorBidi" w:hAnsiTheme="majorBidi" w:cstheme="majorBidi"/>
                <w:b/>
                <w:bCs/>
                <w:sz w:val="18"/>
                <w:szCs w:val="18"/>
              </w:rPr>
              <w:t>2007</w:t>
            </w:r>
            <w:r w:rsidRPr="004264CD">
              <w:rPr>
                <w:rFonts w:asciiTheme="majorBidi" w:hAnsiTheme="majorBidi" w:cstheme="majorBidi"/>
                <w:sz w:val="18"/>
                <w:szCs w:val="18"/>
              </w:rPr>
              <w:t>;365(3):237-247</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303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60</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Rezaie A, Parker RD, Abdollahi M</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Oxidative stress and pathogenesis of inflammatory bowel disease: An epiphenomenon or the cause?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Digestive Diseases and Sciences </w:t>
            </w:r>
            <w:r w:rsidRPr="004264CD">
              <w:rPr>
                <w:rFonts w:asciiTheme="majorBidi" w:hAnsiTheme="majorBidi" w:cstheme="majorBidi"/>
                <w:b/>
                <w:bCs/>
                <w:sz w:val="18"/>
                <w:szCs w:val="18"/>
              </w:rPr>
              <w:t>2007</w:t>
            </w:r>
            <w:r w:rsidRPr="004264CD">
              <w:rPr>
                <w:rFonts w:asciiTheme="majorBidi" w:hAnsiTheme="majorBidi" w:cstheme="majorBidi"/>
                <w:sz w:val="18"/>
                <w:szCs w:val="18"/>
              </w:rPr>
              <w:t>;52(9):2015-2021</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284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61</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Shahverdi AR, Minaeian S, Shahverdi HR,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Rapid synthesis of silver nanoparticles using culture supernatants of </w:t>
            </w:r>
            <w:r w:rsidRPr="004264CD">
              <w:rPr>
                <w:rFonts w:asciiTheme="majorBidi" w:hAnsiTheme="majorBidi" w:cstheme="majorBidi"/>
                <w:i/>
                <w:iCs/>
                <w:sz w:val="18"/>
                <w:szCs w:val="18"/>
              </w:rPr>
              <w:t>Enterobacteria</w:t>
            </w:r>
            <w:r w:rsidRPr="004264CD">
              <w:rPr>
                <w:rFonts w:asciiTheme="majorBidi" w:hAnsiTheme="majorBidi" w:cstheme="majorBidi"/>
                <w:sz w:val="18"/>
                <w:szCs w:val="18"/>
              </w:rPr>
              <w:t>: A novel biological approach</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Process Biochemistry </w:t>
            </w:r>
            <w:r w:rsidRPr="004264CD">
              <w:rPr>
                <w:rFonts w:asciiTheme="majorBidi" w:hAnsiTheme="majorBidi" w:cstheme="majorBidi"/>
                <w:b/>
                <w:bCs/>
                <w:sz w:val="18"/>
                <w:szCs w:val="18"/>
              </w:rPr>
              <w:t>2007</w:t>
            </w:r>
            <w:r w:rsidRPr="004264CD">
              <w:rPr>
                <w:rFonts w:asciiTheme="majorBidi" w:hAnsiTheme="majorBidi" w:cstheme="majorBidi"/>
                <w:sz w:val="18"/>
                <w:szCs w:val="18"/>
              </w:rPr>
              <w:t>;42(5):919-923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279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62</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Klein C, Grudzien M, Appaswamy G,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HAX1 deficiency causes autosomal recessive severe congenital neutropenia (Kostmann disease)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Nature Genetics </w:t>
            </w:r>
            <w:r w:rsidRPr="004264CD">
              <w:rPr>
                <w:rFonts w:asciiTheme="majorBidi" w:hAnsiTheme="majorBidi" w:cstheme="majorBidi"/>
                <w:b/>
                <w:bCs/>
                <w:sz w:val="18"/>
                <w:szCs w:val="18"/>
              </w:rPr>
              <w:t>2007</w:t>
            </w:r>
            <w:r w:rsidRPr="004264CD">
              <w:rPr>
                <w:rFonts w:asciiTheme="majorBidi" w:hAnsiTheme="majorBidi" w:cstheme="majorBidi"/>
                <w:sz w:val="18"/>
                <w:szCs w:val="18"/>
              </w:rPr>
              <w:t>;39(1):86-92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264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63</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Akhoondi S, Sun D, von der Lehr N,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FBXW7/hCDC4 is a general tumor suppressor in human cancer</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Cancer Research </w:t>
            </w:r>
            <w:r w:rsidRPr="004264CD">
              <w:rPr>
                <w:rFonts w:asciiTheme="majorBidi" w:hAnsiTheme="majorBidi" w:cstheme="majorBidi"/>
                <w:b/>
                <w:bCs/>
                <w:sz w:val="18"/>
                <w:szCs w:val="18"/>
              </w:rPr>
              <w:t>2007</w:t>
            </w:r>
            <w:r w:rsidRPr="004264CD">
              <w:rPr>
                <w:rFonts w:asciiTheme="majorBidi" w:hAnsiTheme="majorBidi" w:cstheme="majorBidi"/>
                <w:sz w:val="18"/>
                <w:szCs w:val="18"/>
              </w:rPr>
              <w:t>;67(19):9006-9012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240</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64</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Moradali MF, Mostafavi, H, Ghods S,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Immunomodulating and anticancer agents in the realm of macromycetes fungi (macrofungi)</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International Immunopharmacology </w:t>
            </w:r>
            <w:r w:rsidRPr="004264CD">
              <w:rPr>
                <w:rFonts w:asciiTheme="majorBidi" w:hAnsiTheme="majorBidi" w:cstheme="majorBidi"/>
                <w:b/>
                <w:bCs/>
                <w:sz w:val="18"/>
                <w:szCs w:val="18"/>
              </w:rPr>
              <w:t>2007</w:t>
            </w:r>
            <w:r w:rsidRPr="004264CD">
              <w:rPr>
                <w:rFonts w:asciiTheme="majorBidi" w:hAnsiTheme="majorBidi" w:cstheme="majorBidi"/>
                <w:sz w:val="18"/>
                <w:szCs w:val="18"/>
              </w:rPr>
              <w:t>;7(6):701-724</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240</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65</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Hosseinimehr SJ</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Foundation review: Trends in the development of radioprotective agents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Drug Discovery Today </w:t>
            </w:r>
            <w:r w:rsidRPr="004264CD">
              <w:rPr>
                <w:rFonts w:asciiTheme="majorBidi" w:hAnsiTheme="majorBidi" w:cstheme="majorBidi"/>
                <w:b/>
                <w:bCs/>
                <w:sz w:val="18"/>
                <w:szCs w:val="18"/>
              </w:rPr>
              <w:t>2007</w:t>
            </w:r>
            <w:r w:rsidRPr="004264CD">
              <w:rPr>
                <w:rFonts w:asciiTheme="majorBidi" w:hAnsiTheme="majorBidi" w:cstheme="majorBidi"/>
                <w:sz w:val="18"/>
                <w:szCs w:val="18"/>
              </w:rPr>
              <w:t>;12(19-20):794-805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225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66</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Rhead JL, Letley DP, Mohammadi M,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 new Helicobacter pylori vacuolating cytotoxin determinant, the intermediate region, is associated with gastric cancer</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Gastroenterology </w:t>
            </w:r>
            <w:r w:rsidRPr="004264CD">
              <w:rPr>
                <w:rFonts w:asciiTheme="majorBidi" w:hAnsiTheme="majorBidi" w:cstheme="majorBidi"/>
                <w:b/>
                <w:bCs/>
                <w:sz w:val="18"/>
                <w:szCs w:val="18"/>
              </w:rPr>
              <w:t>2007</w:t>
            </w:r>
            <w:r w:rsidRPr="004264CD">
              <w:rPr>
                <w:rFonts w:asciiTheme="majorBidi" w:hAnsiTheme="majorBidi" w:cstheme="majorBidi"/>
                <w:sz w:val="18"/>
                <w:szCs w:val="18"/>
              </w:rPr>
              <w:t>;133(3):926-936</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215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lastRenderedPageBreak/>
              <w:t>67</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Kiani R, Esteky H, Mirpour K,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Object category structure in response patterns of neuronal population in monkey inferior temporal cortex</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Neurophysiology </w:t>
            </w:r>
            <w:r w:rsidRPr="004264CD">
              <w:rPr>
                <w:rFonts w:asciiTheme="majorBidi" w:hAnsiTheme="majorBidi" w:cstheme="majorBidi"/>
                <w:b/>
                <w:bCs/>
                <w:sz w:val="18"/>
                <w:szCs w:val="18"/>
              </w:rPr>
              <w:t>2007</w:t>
            </w:r>
            <w:r w:rsidRPr="004264CD">
              <w:rPr>
                <w:rFonts w:asciiTheme="majorBidi" w:hAnsiTheme="majorBidi" w:cstheme="majorBidi"/>
                <w:sz w:val="18"/>
                <w:szCs w:val="18"/>
              </w:rPr>
              <w:t>;97(6):4296-4309</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214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68</w:t>
            </w:r>
          </w:p>
        </w:tc>
        <w:tc>
          <w:tcPr>
            <w:tcW w:w="3544" w:type="dxa"/>
            <w:vAlign w:val="center"/>
          </w:tcPr>
          <w:p w:rsidR="00475AA3" w:rsidRPr="004264CD" w:rsidRDefault="00475AA3" w:rsidP="00CC47C1">
            <w:pPr>
              <w:rPr>
                <w:rFonts w:asciiTheme="majorBidi" w:hAnsiTheme="majorBidi" w:cstheme="majorBidi"/>
                <w:sz w:val="18"/>
                <w:szCs w:val="18"/>
                <w:shd w:val="clear" w:color="auto" w:fill="F8F8F8"/>
              </w:rPr>
            </w:pPr>
            <w:r w:rsidRPr="004264CD">
              <w:rPr>
                <w:rFonts w:asciiTheme="majorBidi" w:hAnsiTheme="majorBidi" w:cstheme="majorBidi"/>
                <w:sz w:val="18"/>
                <w:szCs w:val="18"/>
              </w:rPr>
              <w:t>Esmaillzadeh A, Kimiagar M, Mehrabi Y,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Dietary patterns, insulin resistance, and prevalence of the metabolic syndrome in women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The American Journal of Clinical Nutrition </w:t>
            </w:r>
            <w:r w:rsidRPr="004264CD">
              <w:rPr>
                <w:rFonts w:asciiTheme="majorBidi" w:hAnsiTheme="majorBidi" w:cstheme="majorBidi"/>
                <w:b/>
                <w:bCs/>
                <w:sz w:val="18"/>
                <w:szCs w:val="18"/>
              </w:rPr>
              <w:t>2007</w:t>
            </w:r>
            <w:r w:rsidRPr="004264CD">
              <w:rPr>
                <w:rFonts w:asciiTheme="majorBidi" w:hAnsiTheme="majorBidi" w:cstheme="majorBidi"/>
                <w:sz w:val="18"/>
                <w:szCs w:val="18"/>
              </w:rPr>
              <w:t>;85(3):910-918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207</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69</w:t>
            </w:r>
          </w:p>
        </w:tc>
        <w:tc>
          <w:tcPr>
            <w:tcW w:w="3544" w:type="dxa"/>
            <w:vAlign w:val="center"/>
          </w:tcPr>
          <w:p w:rsidR="00475AA3" w:rsidRPr="004264CD" w:rsidRDefault="00475AA3" w:rsidP="00CC47C1">
            <w:pPr>
              <w:rPr>
                <w:rFonts w:asciiTheme="majorBidi" w:hAnsiTheme="majorBidi" w:cstheme="majorBidi"/>
                <w:sz w:val="18"/>
                <w:szCs w:val="18"/>
                <w:shd w:val="clear" w:color="auto" w:fill="F8F8F8"/>
              </w:rPr>
            </w:pPr>
            <w:r w:rsidRPr="004264CD">
              <w:rPr>
                <w:rFonts w:asciiTheme="majorBidi" w:hAnsiTheme="majorBidi" w:cstheme="majorBidi"/>
                <w:sz w:val="18"/>
                <w:szCs w:val="18"/>
              </w:rPr>
              <w:t>Atlasi Y, Mowla SJ, Ziaee SA, Bahrami AR</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OCT-4, an embryonic stem cell marker, is highly expressed in bladder cancer</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International Journal of Cancer </w:t>
            </w:r>
            <w:r w:rsidRPr="004264CD">
              <w:rPr>
                <w:rFonts w:asciiTheme="majorBidi" w:hAnsiTheme="majorBidi" w:cstheme="majorBidi"/>
                <w:b/>
                <w:bCs/>
                <w:sz w:val="18"/>
                <w:szCs w:val="18"/>
              </w:rPr>
              <w:t>2007</w:t>
            </w:r>
            <w:r w:rsidRPr="004264CD">
              <w:rPr>
                <w:rFonts w:asciiTheme="majorBidi" w:hAnsiTheme="majorBidi" w:cstheme="majorBidi"/>
                <w:sz w:val="18"/>
                <w:szCs w:val="18"/>
              </w:rPr>
              <w:t>;120(7):1598-1602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173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70</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Akhondzadeh S, Tabatabaee M, Amini H,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Celecoxib as adjunctive therapy in schizophrenia: A double-blind, randomized and placebo-controlled trial</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Schizophrenia Research </w:t>
            </w:r>
            <w:r w:rsidRPr="004264CD">
              <w:rPr>
                <w:rFonts w:asciiTheme="majorBidi" w:hAnsiTheme="majorBidi" w:cstheme="majorBidi"/>
                <w:b/>
                <w:bCs/>
                <w:sz w:val="18"/>
                <w:szCs w:val="18"/>
              </w:rPr>
              <w:t>2007</w:t>
            </w:r>
            <w:r w:rsidRPr="004264CD">
              <w:rPr>
                <w:rFonts w:asciiTheme="majorBidi" w:hAnsiTheme="majorBidi" w:cstheme="majorBidi"/>
                <w:sz w:val="18"/>
                <w:szCs w:val="18"/>
              </w:rPr>
              <w:t>;90(1-3):179-185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71</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Esmaillzadeh A, Kimiagar M, Mehrabi Y,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Dietary patterns and markers of systemic inflammation among Iranian women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The Journal of Nutrition </w:t>
            </w:r>
            <w:r w:rsidRPr="004264CD">
              <w:rPr>
                <w:rFonts w:asciiTheme="majorBidi" w:hAnsiTheme="majorBidi" w:cstheme="majorBidi"/>
                <w:b/>
                <w:bCs/>
                <w:sz w:val="18"/>
                <w:szCs w:val="18"/>
              </w:rPr>
              <w:t>2007</w:t>
            </w:r>
            <w:r w:rsidRPr="004264CD">
              <w:rPr>
                <w:rFonts w:asciiTheme="majorBidi" w:hAnsiTheme="majorBidi" w:cstheme="majorBidi"/>
                <w:sz w:val="18"/>
                <w:szCs w:val="18"/>
              </w:rPr>
              <w:t>;137(4):992-998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72</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Style w:val="Hyperlink"/>
                <w:rFonts w:asciiTheme="majorBidi" w:hAnsiTheme="majorBidi" w:cstheme="majorBidi"/>
                <w:color w:val="auto"/>
                <w:sz w:val="18"/>
                <w:szCs w:val="18"/>
                <w:u w:val="none"/>
              </w:rPr>
              <w:t>Mohamadnejad M, Alimoghaddam, K, Mohyeddin-Bonab M,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Phase 1 trial of autologous bone marrow mesenchymal stem cell transplantation in patients with decompensated liver cirrhosis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Archives</w:t>
            </w:r>
            <w:r w:rsidRPr="004264CD">
              <w:rPr>
                <w:rStyle w:val="Hyperlink"/>
                <w:rFonts w:asciiTheme="majorBidi" w:hAnsiTheme="majorBidi" w:cstheme="majorBidi"/>
                <w:color w:val="auto"/>
                <w:sz w:val="18"/>
                <w:szCs w:val="18"/>
                <w:u w:val="none"/>
              </w:rPr>
              <w:t xml:space="preserve"> of Iranian Medicine </w:t>
            </w:r>
            <w:r w:rsidRPr="004264CD">
              <w:rPr>
                <w:rStyle w:val="Hyperlink"/>
                <w:rFonts w:asciiTheme="majorBidi" w:hAnsiTheme="majorBidi" w:cstheme="majorBidi"/>
                <w:b/>
                <w:bCs/>
                <w:color w:val="auto"/>
                <w:sz w:val="18"/>
                <w:szCs w:val="18"/>
                <w:u w:val="none"/>
              </w:rPr>
              <w:t>2007</w:t>
            </w:r>
            <w:r w:rsidRPr="004264CD">
              <w:rPr>
                <w:rStyle w:val="Hyperlink"/>
                <w:rFonts w:asciiTheme="majorBidi" w:hAnsiTheme="majorBidi" w:cstheme="majorBidi"/>
                <w:color w:val="auto"/>
                <w:sz w:val="18"/>
                <w:szCs w:val="18"/>
                <w:u w:val="none"/>
              </w:rPr>
              <w:t>;10(4):459-466</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165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73</w:t>
            </w:r>
          </w:p>
        </w:tc>
        <w:tc>
          <w:tcPr>
            <w:tcW w:w="3544"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Holmes C, Boche D, Wilkinson D, et al.</w:t>
            </w:r>
          </w:p>
        </w:tc>
        <w:tc>
          <w:tcPr>
            <w:tcW w:w="6662"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Long-term effects of A beta(42) immunisation in Alzheimer's disease: follow-up of a randomised, placebo-controlled phase I trial</w:t>
            </w:r>
          </w:p>
        </w:tc>
        <w:tc>
          <w:tcPr>
            <w:tcW w:w="4395"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 xml:space="preserve">The Lancet </w:t>
            </w:r>
            <w:r w:rsidRPr="004264CD">
              <w:rPr>
                <w:rFonts w:asciiTheme="majorBidi" w:hAnsiTheme="majorBidi" w:cstheme="majorBidi"/>
                <w:b/>
                <w:bCs/>
                <w:sz w:val="18"/>
                <w:szCs w:val="18"/>
              </w:rPr>
              <w:t>2008</w:t>
            </w:r>
            <w:r w:rsidRPr="004264CD">
              <w:rPr>
                <w:rFonts w:asciiTheme="majorBidi" w:hAnsiTheme="majorBidi" w:cstheme="majorBidi"/>
                <w:sz w:val="18"/>
                <w:szCs w:val="18"/>
              </w:rPr>
              <w:t>;372(9634):216-223</w:t>
            </w:r>
          </w:p>
        </w:tc>
        <w:tc>
          <w:tcPr>
            <w:tcW w:w="850" w:type="dxa"/>
            <w:vAlign w:val="center"/>
          </w:tcPr>
          <w:p w:rsidR="00475AA3" w:rsidRPr="004264CD" w:rsidRDefault="00475AA3" w:rsidP="00CC47C1">
            <w:pPr>
              <w:jc w:val="cente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860</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74</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Hamidi M, Azadi A, Rafiei P</w:t>
            </w:r>
          </w:p>
          <w:p w:rsidR="00475AA3" w:rsidRPr="004264CD" w:rsidRDefault="00475AA3" w:rsidP="00CC47C1">
            <w:pPr>
              <w:rPr>
                <w:rFonts w:asciiTheme="majorBidi" w:hAnsiTheme="majorBidi" w:cstheme="majorBidi"/>
                <w:sz w:val="18"/>
                <w:szCs w:val="18"/>
              </w:rPr>
            </w:pP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Hydrogel nanoparticles in drug delivery</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Advanced Drug Delivery Reviews </w:t>
            </w:r>
            <w:r w:rsidRPr="004264CD">
              <w:rPr>
                <w:rFonts w:asciiTheme="majorBidi" w:hAnsiTheme="majorBidi" w:cstheme="majorBidi"/>
                <w:b/>
                <w:bCs/>
                <w:sz w:val="18"/>
                <w:szCs w:val="18"/>
              </w:rPr>
              <w:t>2008</w:t>
            </w:r>
            <w:r w:rsidRPr="004264CD">
              <w:rPr>
                <w:rFonts w:asciiTheme="majorBidi" w:hAnsiTheme="majorBidi" w:cstheme="majorBidi"/>
                <w:sz w:val="18"/>
                <w:szCs w:val="18"/>
              </w:rPr>
              <w:t>;60(15):1638-1649</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778</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75</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Asl MN, Hosseinzadeh H</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Review of pharmacological effects of Glycyrrhiza sp and its bioactive compounds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Phytotherapy Research </w:t>
            </w:r>
            <w:r w:rsidRPr="004264CD">
              <w:rPr>
                <w:rFonts w:asciiTheme="majorBidi" w:hAnsiTheme="majorBidi" w:cstheme="majorBidi"/>
                <w:b/>
                <w:bCs/>
                <w:sz w:val="18"/>
                <w:szCs w:val="18"/>
              </w:rPr>
              <w:t>2008</w:t>
            </w:r>
            <w:r w:rsidRPr="004264CD">
              <w:rPr>
                <w:rFonts w:asciiTheme="majorBidi" w:hAnsiTheme="majorBidi" w:cstheme="majorBidi"/>
                <w:sz w:val="18"/>
                <w:szCs w:val="18"/>
              </w:rPr>
              <w:t>;22(6):709-724</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433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76</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Kriegeskorte N, Mur M, Ruff DA,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Matching Categorical Object Representations in Inferior Temporal Cortex of Man and Monkey</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Neuron </w:t>
            </w:r>
            <w:r w:rsidRPr="004264CD">
              <w:rPr>
                <w:rFonts w:asciiTheme="majorBidi" w:hAnsiTheme="majorBidi" w:cstheme="majorBidi"/>
                <w:b/>
                <w:bCs/>
                <w:sz w:val="18"/>
                <w:szCs w:val="18"/>
              </w:rPr>
              <w:t>2008</w:t>
            </w:r>
            <w:r w:rsidRPr="004264CD">
              <w:rPr>
                <w:rFonts w:asciiTheme="majorBidi" w:hAnsiTheme="majorBidi" w:cstheme="majorBidi"/>
                <w:sz w:val="18"/>
                <w:szCs w:val="18"/>
              </w:rPr>
              <w:t>;60(6):1126-1141</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419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77</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McQueen MJ, Hawken S, Wang X,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Lipids, lipoproteins, and apolipoproteins as risk markers of myocardial infarction in 52 countries (the INTERHEART study): a case-control study</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The Lancet </w:t>
            </w:r>
            <w:r w:rsidRPr="004264CD">
              <w:rPr>
                <w:rFonts w:asciiTheme="majorBidi" w:hAnsiTheme="majorBidi" w:cstheme="majorBidi"/>
                <w:b/>
                <w:bCs/>
                <w:sz w:val="18"/>
                <w:szCs w:val="18"/>
              </w:rPr>
              <w:t>2008</w:t>
            </w:r>
            <w:r w:rsidRPr="004264CD">
              <w:rPr>
                <w:rFonts w:asciiTheme="majorBidi" w:hAnsiTheme="majorBidi" w:cstheme="majorBidi"/>
                <w:sz w:val="18"/>
                <w:szCs w:val="18"/>
              </w:rPr>
              <w:t>;372(9634):224-233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393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78</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shd w:val="clear" w:color="auto" w:fill="FFFFFF"/>
              </w:rPr>
              <w:t>Montazeri A</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Health-related quality of life in breast cancer patients: A bibliographic review of the literature from 1974 to 2007</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Experimental &amp; Clinical Cancer Research </w:t>
            </w:r>
            <w:r w:rsidRPr="004264CD">
              <w:rPr>
                <w:rFonts w:asciiTheme="majorBidi" w:hAnsiTheme="majorBidi" w:cstheme="majorBidi"/>
                <w:b/>
                <w:bCs/>
                <w:sz w:val="18"/>
                <w:szCs w:val="18"/>
              </w:rPr>
              <w:t>2008</w:t>
            </w:r>
            <w:r w:rsidRPr="004264CD">
              <w:rPr>
                <w:rFonts w:asciiTheme="majorBidi" w:hAnsiTheme="majorBidi" w:cstheme="majorBidi"/>
                <w:sz w:val="18"/>
                <w:szCs w:val="18"/>
              </w:rPr>
              <w:t>;27:32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274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79</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Jouyban A</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Review of the cosolvency models for predicting solubility of drugs in water-cosolvent mixtures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Pharmacy and Pharmaceutical Sciences </w:t>
            </w:r>
            <w:r w:rsidRPr="004264CD">
              <w:rPr>
                <w:rFonts w:asciiTheme="majorBidi" w:hAnsiTheme="majorBidi" w:cstheme="majorBidi"/>
                <w:b/>
                <w:bCs/>
                <w:sz w:val="18"/>
                <w:szCs w:val="18"/>
              </w:rPr>
              <w:t>2008</w:t>
            </w:r>
            <w:r w:rsidRPr="004264CD">
              <w:rPr>
                <w:rFonts w:asciiTheme="majorBidi" w:hAnsiTheme="majorBidi" w:cstheme="majorBidi"/>
                <w:sz w:val="18"/>
                <w:szCs w:val="18"/>
              </w:rPr>
              <w:t>;11(1):</w:t>
            </w:r>
            <w:r w:rsidRPr="004264CD">
              <w:rPr>
                <w:rStyle w:val="Hyperlink"/>
                <w:rFonts w:asciiTheme="majorBidi" w:hAnsiTheme="majorBidi" w:cstheme="majorBidi"/>
                <w:color w:val="auto"/>
                <w:sz w:val="18"/>
                <w:szCs w:val="18"/>
                <w:u w:val="none"/>
              </w:rPr>
              <w:t>32-57</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239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80</w:t>
            </w:r>
          </w:p>
        </w:tc>
        <w:tc>
          <w:tcPr>
            <w:tcW w:w="3544"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Imanshahidi M, Hosseinzadeh H</w:t>
            </w:r>
          </w:p>
        </w:tc>
        <w:tc>
          <w:tcPr>
            <w:tcW w:w="6662"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Pharmacological and therapeutic effects of Berberis vulgaris and its active constituent, berberine</w:t>
            </w:r>
          </w:p>
        </w:tc>
        <w:tc>
          <w:tcPr>
            <w:tcW w:w="4395"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 xml:space="preserve">Phytotherapy Research </w:t>
            </w:r>
            <w:r w:rsidRPr="004264CD">
              <w:rPr>
                <w:rFonts w:asciiTheme="majorBidi" w:hAnsiTheme="majorBidi" w:cstheme="majorBidi"/>
                <w:b/>
                <w:bCs/>
                <w:sz w:val="18"/>
                <w:szCs w:val="18"/>
              </w:rPr>
              <w:t>2008</w:t>
            </w:r>
            <w:r w:rsidRPr="004264CD">
              <w:rPr>
                <w:rFonts w:asciiTheme="majorBidi" w:hAnsiTheme="majorBidi" w:cstheme="majorBidi"/>
                <w:sz w:val="18"/>
                <w:szCs w:val="18"/>
              </w:rPr>
              <w:t>;22(8):999-1012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224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81</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Azarmi S, Roa WH, Löbenberg R</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Targeted delivery of nanoparticles for the treatment of lung diseases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Advanced Drug Delivery Reviews </w:t>
            </w:r>
            <w:r w:rsidRPr="004264CD">
              <w:rPr>
                <w:rFonts w:asciiTheme="majorBidi" w:hAnsiTheme="majorBidi" w:cstheme="majorBidi"/>
                <w:b/>
                <w:bCs/>
                <w:sz w:val="18"/>
                <w:szCs w:val="18"/>
              </w:rPr>
              <w:t>2008</w:t>
            </w:r>
            <w:r w:rsidRPr="004264CD">
              <w:rPr>
                <w:rFonts w:asciiTheme="majorBidi" w:hAnsiTheme="majorBidi" w:cstheme="majorBidi"/>
                <w:sz w:val="18"/>
                <w:szCs w:val="18"/>
              </w:rPr>
              <w:t>;60(8):863-875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222</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82</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Smith JT, Coolen LM, Kriegsfeld LJ,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Variation in Kisspeptin and RFamide-Related Peptide ( RFRP) Expression and Terminal Connections to Gonadotropin-Releasing Hormone Neurons in the Brain: A Novel Medium for Seasonal Breeding in the Sheep</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Endocrinology </w:t>
            </w:r>
            <w:r w:rsidRPr="004264CD">
              <w:rPr>
                <w:rFonts w:asciiTheme="majorBidi" w:hAnsiTheme="majorBidi" w:cstheme="majorBidi"/>
                <w:b/>
                <w:bCs/>
                <w:sz w:val="18"/>
                <w:szCs w:val="18"/>
              </w:rPr>
              <w:t>2008</w:t>
            </w:r>
            <w:r w:rsidRPr="004264CD">
              <w:rPr>
                <w:rFonts w:asciiTheme="majorBidi" w:hAnsiTheme="majorBidi" w:cstheme="majorBidi"/>
                <w:sz w:val="18"/>
                <w:szCs w:val="18"/>
              </w:rPr>
              <w:t>;149(11):5770-5782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218</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83</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Niknejad H, Peirovi H, Jorjani, M,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Properties of the amniotic membrane for potential use in tissue engineering</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European Cells &amp; Materials </w:t>
            </w:r>
            <w:r w:rsidRPr="004264CD">
              <w:rPr>
                <w:rFonts w:asciiTheme="majorBidi" w:hAnsiTheme="majorBidi" w:cstheme="majorBidi"/>
                <w:b/>
                <w:bCs/>
                <w:sz w:val="18"/>
                <w:szCs w:val="18"/>
              </w:rPr>
              <w:t>2008</w:t>
            </w:r>
            <w:r w:rsidRPr="004264CD">
              <w:rPr>
                <w:rStyle w:val="Hyperlink"/>
                <w:rFonts w:asciiTheme="majorBidi" w:hAnsiTheme="majorBidi" w:cstheme="majorBidi"/>
                <w:color w:val="auto"/>
                <w:sz w:val="18"/>
                <w:szCs w:val="18"/>
                <w:u w:val="none"/>
              </w:rPr>
              <w:t>;15:88-99</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217</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84</w:t>
            </w:r>
          </w:p>
        </w:tc>
        <w:tc>
          <w:tcPr>
            <w:tcW w:w="3544"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Style w:val="Hyperlink"/>
                <w:rFonts w:asciiTheme="majorBidi" w:hAnsiTheme="majorBidi" w:cstheme="majorBidi"/>
                <w:color w:val="auto"/>
                <w:sz w:val="18"/>
                <w:szCs w:val="18"/>
                <w:u w:val="none"/>
              </w:rPr>
              <w:t>Gill P, Ghaemi A</w:t>
            </w:r>
          </w:p>
        </w:tc>
        <w:tc>
          <w:tcPr>
            <w:tcW w:w="6662"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Style w:val="Hyperlink"/>
                <w:rFonts w:asciiTheme="majorBidi" w:hAnsiTheme="majorBidi" w:cstheme="majorBidi"/>
                <w:color w:val="auto"/>
                <w:sz w:val="18"/>
                <w:szCs w:val="18"/>
                <w:u w:val="none"/>
              </w:rPr>
              <w:t>Nucleic acid isothermal amplification technologies - A review</w:t>
            </w:r>
          </w:p>
        </w:tc>
        <w:tc>
          <w:tcPr>
            <w:tcW w:w="4395"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Style w:val="Hyperlink"/>
                <w:rFonts w:asciiTheme="majorBidi" w:hAnsiTheme="majorBidi" w:cstheme="majorBidi"/>
                <w:color w:val="auto"/>
                <w:sz w:val="18"/>
                <w:szCs w:val="18"/>
                <w:u w:val="none"/>
              </w:rPr>
              <w:t xml:space="preserve">Nucleosides, Nucleotides and Nucleic Acids </w:t>
            </w:r>
            <w:r w:rsidRPr="004264CD">
              <w:rPr>
                <w:rStyle w:val="Hyperlink"/>
                <w:rFonts w:asciiTheme="majorBidi" w:hAnsiTheme="majorBidi" w:cstheme="majorBidi"/>
                <w:b/>
                <w:bCs/>
                <w:color w:val="auto"/>
                <w:sz w:val="18"/>
                <w:szCs w:val="18"/>
                <w:u w:val="none"/>
              </w:rPr>
              <w:t>2008</w:t>
            </w:r>
            <w:r w:rsidRPr="004264CD">
              <w:rPr>
                <w:rStyle w:val="Hyperlink"/>
                <w:rFonts w:asciiTheme="majorBidi" w:hAnsiTheme="majorBidi" w:cstheme="majorBidi"/>
                <w:color w:val="auto"/>
                <w:sz w:val="18"/>
                <w:szCs w:val="18"/>
                <w:u w:val="none"/>
              </w:rPr>
              <w:t>; 27(3):224-243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195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85</w:t>
            </w:r>
          </w:p>
        </w:tc>
        <w:tc>
          <w:tcPr>
            <w:tcW w:w="3544"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Atlasi Y, Mowla SJ, Ziaee SA, et al.</w:t>
            </w:r>
          </w:p>
        </w:tc>
        <w:tc>
          <w:tcPr>
            <w:tcW w:w="6662"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OCT4 Spliced Variants Are Differentially Expressed in Human Pluripotent and Nonpluripotent Cells</w:t>
            </w:r>
          </w:p>
        </w:tc>
        <w:tc>
          <w:tcPr>
            <w:tcW w:w="4395"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 xml:space="preserve">Stem Cells </w:t>
            </w:r>
            <w:r w:rsidRPr="004264CD">
              <w:rPr>
                <w:rFonts w:asciiTheme="majorBidi" w:hAnsiTheme="majorBidi" w:cstheme="majorBidi"/>
                <w:b/>
                <w:bCs/>
                <w:sz w:val="18"/>
                <w:szCs w:val="18"/>
              </w:rPr>
              <w:t>2008</w:t>
            </w:r>
            <w:r w:rsidRPr="004264CD">
              <w:rPr>
                <w:rFonts w:asciiTheme="majorBidi" w:hAnsiTheme="majorBidi" w:cstheme="majorBidi"/>
                <w:sz w:val="18"/>
                <w:szCs w:val="18"/>
              </w:rPr>
              <w:t>;26(12):3068-3074</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185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86</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Islami F, Kamangar F</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Helicobacter pylori and Esophageal Cancer Risk: A Meta-analysis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Cancer Prevention Research </w:t>
            </w:r>
            <w:r w:rsidRPr="004264CD">
              <w:rPr>
                <w:rFonts w:asciiTheme="majorBidi" w:hAnsiTheme="majorBidi" w:cstheme="majorBidi"/>
                <w:b/>
                <w:bCs/>
                <w:sz w:val="18"/>
                <w:szCs w:val="18"/>
              </w:rPr>
              <w:t>2008</w:t>
            </w:r>
            <w:r w:rsidRPr="004264CD">
              <w:rPr>
                <w:rFonts w:asciiTheme="majorBidi" w:hAnsiTheme="majorBidi" w:cstheme="majorBidi"/>
                <w:sz w:val="18"/>
                <w:szCs w:val="18"/>
              </w:rPr>
              <w:t>;1(5):329-338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175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87</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Kim DH, Sabour S, Sagar, U N,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Prevalence of Hypovitaminosis D in Cardiovascular Diseases (from the National Health and Nutrition Examination Survey 2001 to 2004)</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 xml:space="preserve">American journal of cardiology </w:t>
            </w:r>
            <w:r w:rsidRPr="004264CD">
              <w:rPr>
                <w:rStyle w:val="Hyperlink"/>
                <w:rFonts w:asciiTheme="majorBidi" w:hAnsiTheme="majorBidi" w:cstheme="majorBidi"/>
                <w:b/>
                <w:bCs/>
                <w:color w:val="auto"/>
                <w:sz w:val="18"/>
                <w:szCs w:val="18"/>
                <w:u w:val="none"/>
              </w:rPr>
              <w:t>2008</w:t>
            </w:r>
            <w:r w:rsidRPr="004264CD">
              <w:rPr>
                <w:rStyle w:val="Hyperlink"/>
                <w:rFonts w:asciiTheme="majorBidi" w:hAnsiTheme="majorBidi" w:cstheme="majorBidi"/>
                <w:color w:val="auto"/>
                <w:sz w:val="18"/>
                <w:szCs w:val="18"/>
                <w:u w:val="none"/>
              </w:rPr>
              <w:t>;102(11):1540-1544</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175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88</w:t>
            </w:r>
          </w:p>
        </w:tc>
        <w:tc>
          <w:tcPr>
            <w:tcW w:w="3544"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Ghavami S, Rashedi I, Dattilo BM, et al.</w:t>
            </w:r>
          </w:p>
        </w:tc>
        <w:tc>
          <w:tcPr>
            <w:tcW w:w="6662"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S100A8/A9 at low concentration promotes tumor cell growth via RAGE ligation and MAP kinase-dependent pathway</w:t>
            </w:r>
          </w:p>
        </w:tc>
        <w:tc>
          <w:tcPr>
            <w:tcW w:w="4395" w:type="dxa"/>
            <w:vAlign w:val="center"/>
          </w:tcPr>
          <w:p w:rsidR="00475AA3" w:rsidRPr="004264CD" w:rsidRDefault="00475AA3" w:rsidP="00CC47C1">
            <w:pPr>
              <w:pStyle w:val="Heading1"/>
              <w:shd w:val="clear" w:color="auto" w:fill="FFFFFF"/>
              <w:spacing w:before="90" w:beforeAutospacing="0" w:after="90" w:afterAutospacing="0"/>
              <w:outlineLvl w:val="0"/>
              <w:rPr>
                <w:rStyle w:val="Hyperlink"/>
                <w:rFonts w:asciiTheme="majorBidi" w:eastAsiaTheme="minorHAnsi" w:hAnsiTheme="majorBidi" w:cstheme="majorBidi"/>
                <w:b w:val="0"/>
                <w:bCs w:val="0"/>
                <w:color w:val="auto"/>
                <w:kern w:val="0"/>
                <w:sz w:val="18"/>
                <w:szCs w:val="18"/>
                <w:u w:val="none"/>
                <w:lang w:eastAsia="en-US"/>
              </w:rPr>
            </w:pPr>
            <w:r w:rsidRPr="004264CD">
              <w:rPr>
                <w:rFonts w:asciiTheme="majorBidi" w:hAnsiTheme="majorBidi" w:cstheme="majorBidi"/>
                <w:b w:val="0"/>
                <w:bCs w:val="0"/>
                <w:sz w:val="18"/>
                <w:szCs w:val="18"/>
              </w:rPr>
              <w:t xml:space="preserve">Journal of Leukocyte Biology </w:t>
            </w:r>
            <w:r w:rsidRPr="004264CD">
              <w:rPr>
                <w:rFonts w:asciiTheme="majorBidi" w:hAnsiTheme="majorBidi" w:cstheme="majorBidi"/>
                <w:sz w:val="18"/>
                <w:szCs w:val="18"/>
              </w:rPr>
              <w:t>2008</w:t>
            </w:r>
            <w:r w:rsidRPr="004264CD">
              <w:rPr>
                <w:rFonts w:asciiTheme="majorBidi" w:hAnsiTheme="majorBidi" w:cstheme="majorBidi"/>
                <w:b w:val="0"/>
                <w:bCs w:val="0"/>
                <w:sz w:val="18"/>
                <w:szCs w:val="18"/>
              </w:rPr>
              <w:t>;83(6):1484-1492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168</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lastRenderedPageBreak/>
              <w:t>89</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Beitollahi H, Mazloum-Ardakani M, Ganjipour B,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Novel 2,2 '-[1,2-ethanediylbis(nitriloethylidyne)]-bis-hydroquinone double-wall carbon nanotube paste electrode for simultaneous determination of epinephrine, uric acid and folic acid</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Biosensors &amp; Bioelectronics </w:t>
            </w:r>
            <w:r w:rsidRPr="004264CD">
              <w:rPr>
                <w:rFonts w:asciiTheme="majorBidi" w:hAnsiTheme="majorBidi" w:cstheme="majorBidi"/>
                <w:b/>
                <w:bCs/>
                <w:sz w:val="18"/>
                <w:szCs w:val="18"/>
              </w:rPr>
              <w:t>2008</w:t>
            </w:r>
            <w:r w:rsidRPr="004264CD">
              <w:rPr>
                <w:rFonts w:asciiTheme="majorBidi" w:hAnsiTheme="majorBidi" w:cstheme="majorBidi"/>
                <w:sz w:val="18"/>
                <w:szCs w:val="18"/>
              </w:rPr>
              <w:t>;24(3):362-368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168</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90</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Style w:val="Hyperlink"/>
                <w:rFonts w:asciiTheme="majorBidi" w:hAnsiTheme="majorBidi" w:cstheme="majorBidi"/>
                <w:color w:val="auto"/>
                <w:sz w:val="18"/>
                <w:szCs w:val="18"/>
                <w:u w:val="none"/>
              </w:rPr>
              <w:t>Esteghamati A, Gouya MM, Abbasi M,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Prevalence of diabetes and impaired fasting glucose in the adult population of Iran - National Survey of Risk Factors for Non-Communicable Diseases of Iran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 xml:space="preserve">Diabetes Care </w:t>
            </w:r>
            <w:r w:rsidRPr="004264CD">
              <w:rPr>
                <w:rStyle w:val="Hyperlink"/>
                <w:rFonts w:asciiTheme="majorBidi" w:hAnsiTheme="majorBidi" w:cstheme="majorBidi"/>
                <w:b/>
                <w:bCs/>
                <w:color w:val="auto"/>
                <w:sz w:val="18"/>
                <w:szCs w:val="18"/>
                <w:u w:val="none"/>
              </w:rPr>
              <w:t>2008</w:t>
            </w:r>
            <w:r w:rsidRPr="004264CD">
              <w:rPr>
                <w:rStyle w:val="Hyperlink"/>
                <w:rFonts w:asciiTheme="majorBidi" w:hAnsiTheme="majorBidi" w:cstheme="majorBidi"/>
                <w:color w:val="auto"/>
                <w:sz w:val="18"/>
                <w:szCs w:val="18"/>
                <w:u w:val="none"/>
              </w:rPr>
              <w:t>;31(1):96-98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157</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91</w:t>
            </w:r>
          </w:p>
        </w:tc>
        <w:tc>
          <w:tcPr>
            <w:tcW w:w="3544"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Glocker EO, Hennigs A, Nabavi M, et al.</w:t>
            </w:r>
          </w:p>
        </w:tc>
        <w:tc>
          <w:tcPr>
            <w:tcW w:w="6662"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A Homozygous CARD9 Mutation in a Family with Susceptibility to Fungal Infections</w:t>
            </w:r>
          </w:p>
        </w:tc>
        <w:tc>
          <w:tcPr>
            <w:tcW w:w="4395" w:type="dxa"/>
            <w:vAlign w:val="center"/>
          </w:tcPr>
          <w:p w:rsidR="00475AA3" w:rsidRPr="004264CD" w:rsidRDefault="00475AA3" w:rsidP="00CC47C1">
            <w:pP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 xml:space="preserve">The New England Journal of Medicine </w:t>
            </w:r>
            <w:r w:rsidRPr="004264CD">
              <w:rPr>
                <w:rFonts w:asciiTheme="majorBidi" w:hAnsiTheme="majorBidi" w:cstheme="majorBidi"/>
                <w:b/>
                <w:bCs/>
                <w:sz w:val="18"/>
                <w:szCs w:val="18"/>
              </w:rPr>
              <w:t>2009</w:t>
            </w:r>
            <w:r w:rsidRPr="004264CD">
              <w:rPr>
                <w:rFonts w:asciiTheme="majorBidi" w:hAnsiTheme="majorBidi" w:cstheme="majorBidi"/>
                <w:sz w:val="18"/>
                <w:szCs w:val="18"/>
              </w:rPr>
              <w:t>; 361(18):1727-1735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363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92</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Forsetlund L, Bjørndal A, Rashidian A,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Continuing education meetings and workshops: effects on professional practice and health care outcomes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The Cochrane Database of Systematic Reviews </w:t>
            </w:r>
            <w:r w:rsidRPr="004264CD">
              <w:rPr>
                <w:rFonts w:asciiTheme="majorBidi" w:hAnsiTheme="majorBidi" w:cstheme="majorBidi"/>
                <w:b/>
                <w:bCs/>
                <w:sz w:val="18"/>
                <w:szCs w:val="18"/>
              </w:rPr>
              <w:t>2009</w:t>
            </w:r>
            <w:r w:rsidRPr="004264CD">
              <w:rPr>
                <w:rFonts w:asciiTheme="majorBidi" w:hAnsiTheme="majorBidi" w:cstheme="majorBidi"/>
                <w:sz w:val="18"/>
                <w:szCs w:val="18"/>
              </w:rPr>
              <w:t>;</w:t>
            </w:r>
            <w:r w:rsidRPr="004264CD">
              <w:rPr>
                <w:rFonts w:asciiTheme="majorBidi" w:eastAsia="Times New Roman" w:hAnsiTheme="majorBidi" w:cstheme="majorBidi"/>
                <w:sz w:val="18"/>
                <w:szCs w:val="18"/>
                <w:lang w:eastAsia="en-GB"/>
              </w:rPr>
              <w:t>2:CD003030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358</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93</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Ghavami S, Hashemi M, Ande SR,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Apoptosis and cancer: mutations within caspase genes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Medical Genetics </w:t>
            </w:r>
            <w:r w:rsidRPr="004264CD">
              <w:rPr>
                <w:rFonts w:asciiTheme="majorBidi" w:hAnsiTheme="majorBidi" w:cstheme="majorBidi"/>
                <w:b/>
                <w:bCs/>
                <w:sz w:val="18"/>
                <w:szCs w:val="18"/>
              </w:rPr>
              <w:t>2009</w:t>
            </w:r>
            <w:r w:rsidRPr="004264CD">
              <w:rPr>
                <w:rFonts w:asciiTheme="majorBidi" w:hAnsiTheme="majorBidi" w:cstheme="majorBidi"/>
                <w:sz w:val="18"/>
                <w:szCs w:val="18"/>
              </w:rPr>
              <w:t>;46(8):497-510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331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94</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Soleimani M, Naderi S</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 protocol for isolation and culture of mesenchymal stem cells from mouse bone marrow</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Nature Protocols </w:t>
            </w:r>
            <w:r w:rsidRPr="004264CD">
              <w:rPr>
                <w:rFonts w:asciiTheme="majorBidi" w:hAnsiTheme="majorBidi" w:cstheme="majorBidi"/>
                <w:b/>
                <w:bCs/>
                <w:sz w:val="18"/>
                <w:szCs w:val="18"/>
              </w:rPr>
              <w:t>2009</w:t>
            </w:r>
            <w:r w:rsidRPr="004264CD">
              <w:rPr>
                <w:rFonts w:asciiTheme="majorBidi" w:hAnsiTheme="majorBidi" w:cstheme="majorBidi"/>
                <w:sz w:val="18"/>
                <w:szCs w:val="18"/>
              </w:rPr>
              <w:t>;4(1):102-106</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316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95</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Velayati AA, Masjedi MR, Farnia P,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Emergence of New Forms of Totally Drug-Resistant Tuberculosis Bacilli Super Extensively Drug-Resistant Tuberculosis or Totally Drug-Resistant Strains in Iran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Chest </w:t>
            </w:r>
            <w:r w:rsidRPr="004264CD">
              <w:rPr>
                <w:rFonts w:asciiTheme="majorBidi" w:hAnsiTheme="majorBidi" w:cstheme="majorBidi"/>
                <w:b/>
                <w:bCs/>
                <w:sz w:val="18"/>
                <w:szCs w:val="18"/>
              </w:rPr>
              <w:t>2009</w:t>
            </w:r>
            <w:r w:rsidRPr="004264CD">
              <w:rPr>
                <w:rFonts w:asciiTheme="majorBidi" w:hAnsiTheme="majorBidi" w:cstheme="majorBidi"/>
                <w:sz w:val="18"/>
                <w:szCs w:val="18"/>
              </w:rPr>
              <w:t>;136(2):420-425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304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96</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Huxley RR, Ansary-Moghaddam A, Clifton P,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The impact of dietary and lifestyle risk factors on risk of colorectal cancer: A quantitative overview of the epidemiological evidence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International Journal of Cancer </w:t>
            </w:r>
            <w:r w:rsidRPr="004264CD">
              <w:rPr>
                <w:rFonts w:asciiTheme="majorBidi" w:hAnsiTheme="majorBidi" w:cstheme="majorBidi"/>
                <w:b/>
                <w:bCs/>
                <w:sz w:val="18"/>
                <w:szCs w:val="18"/>
              </w:rPr>
              <w:t>2009</w:t>
            </w:r>
            <w:r w:rsidRPr="004264CD">
              <w:rPr>
                <w:rFonts w:asciiTheme="majorBidi" w:hAnsiTheme="majorBidi" w:cstheme="majorBidi"/>
                <w:sz w:val="18"/>
                <w:szCs w:val="18"/>
              </w:rPr>
              <w:t>;125(1):171-180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289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97</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Azizi F, Ghanbarian A, Momenan AA,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Prevention of non-communicable disease in a population in nutrition transition: Tehran Lipid and Glucose Study phase II</w:t>
            </w:r>
          </w:p>
        </w:tc>
        <w:tc>
          <w:tcPr>
            <w:tcW w:w="4395" w:type="dxa"/>
            <w:vAlign w:val="center"/>
          </w:tcPr>
          <w:p w:rsidR="00475AA3" w:rsidRPr="004264CD" w:rsidRDefault="00475AA3" w:rsidP="00CC47C1">
            <w:pPr>
              <w:rPr>
                <w:rFonts w:asciiTheme="majorBidi" w:hAnsiTheme="majorBidi" w:cstheme="majorBidi"/>
                <w:sz w:val="18"/>
                <w:szCs w:val="18"/>
              </w:rPr>
            </w:pPr>
          </w:p>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Trials </w:t>
            </w:r>
            <w:r w:rsidRPr="004264CD">
              <w:rPr>
                <w:rFonts w:asciiTheme="majorBidi" w:hAnsiTheme="majorBidi" w:cstheme="majorBidi"/>
                <w:b/>
                <w:bCs/>
                <w:sz w:val="18"/>
                <w:szCs w:val="18"/>
              </w:rPr>
              <w:t>2009</w:t>
            </w:r>
            <w:r w:rsidRPr="004264CD">
              <w:rPr>
                <w:rFonts w:asciiTheme="majorBidi" w:hAnsiTheme="majorBidi" w:cstheme="majorBidi"/>
                <w:sz w:val="18"/>
                <w:szCs w:val="18"/>
              </w:rPr>
              <w:t>;10(1):5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277</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98</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Engelhardt KR, McGhee S, Winkler S,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Large deletions and point mutations involving the dedicator of cytokinesis 8 (DOCK8) in the autosomal-recessive form of hyper-IgE syndrome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The Journal of Allergy and Clinical Immunology </w:t>
            </w:r>
            <w:r w:rsidRPr="004264CD">
              <w:rPr>
                <w:rFonts w:asciiTheme="majorBidi" w:hAnsiTheme="majorBidi" w:cstheme="majorBidi"/>
                <w:b/>
                <w:bCs/>
                <w:sz w:val="18"/>
                <w:szCs w:val="18"/>
              </w:rPr>
              <w:t>2009</w:t>
            </w:r>
            <w:r w:rsidRPr="004264CD">
              <w:rPr>
                <w:rFonts w:asciiTheme="majorBidi" w:hAnsiTheme="majorBidi" w:cstheme="majorBidi"/>
                <w:sz w:val="18"/>
                <w:szCs w:val="18"/>
              </w:rPr>
              <w:t>;124(6):</w:t>
            </w:r>
            <w:r w:rsidRPr="004264CD">
              <w:rPr>
                <w:rFonts w:asciiTheme="majorBidi" w:hAnsiTheme="majorBidi" w:cstheme="majorBidi"/>
                <w:sz w:val="18"/>
                <w:szCs w:val="18"/>
                <w:shd w:val="clear" w:color="auto" w:fill="FFFFFF"/>
              </w:rPr>
              <w:t xml:space="preserve"> </w:t>
            </w:r>
            <w:r w:rsidRPr="004264CD">
              <w:rPr>
                <w:rFonts w:asciiTheme="majorBidi" w:hAnsiTheme="majorBidi" w:cstheme="majorBidi"/>
                <w:sz w:val="18"/>
                <w:szCs w:val="18"/>
              </w:rPr>
              <w:t>1289-302.e4</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229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99</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Mousavi SM, Gouya MM, Ramazani R,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Cancer incidence and mortality in Iran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Annals of Oncology </w:t>
            </w:r>
            <w:r w:rsidRPr="004264CD">
              <w:rPr>
                <w:rFonts w:asciiTheme="majorBidi" w:hAnsiTheme="majorBidi" w:cstheme="majorBidi"/>
                <w:b/>
                <w:bCs/>
                <w:sz w:val="18"/>
                <w:szCs w:val="18"/>
              </w:rPr>
              <w:t>2009</w:t>
            </w:r>
            <w:r w:rsidRPr="004264CD">
              <w:rPr>
                <w:rFonts w:asciiTheme="majorBidi" w:hAnsiTheme="majorBidi" w:cstheme="majorBidi"/>
                <w:sz w:val="18"/>
                <w:szCs w:val="18"/>
              </w:rPr>
              <w:t>;20(3):556-563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223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100</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Safavi A, Maleki N, Farjami E</w:t>
            </w:r>
          </w:p>
        </w:tc>
        <w:tc>
          <w:tcPr>
            <w:tcW w:w="6662" w:type="dxa"/>
            <w:vAlign w:val="center"/>
          </w:tcPr>
          <w:p w:rsidR="00475AA3" w:rsidRPr="004264CD" w:rsidRDefault="00475AA3" w:rsidP="00CC47C1">
            <w:pPr>
              <w:pStyle w:val="Heading1"/>
              <w:shd w:val="clear" w:color="auto" w:fill="FFFFFF"/>
              <w:spacing w:before="120" w:beforeAutospacing="0" w:after="120" w:afterAutospacing="0"/>
              <w:outlineLvl w:val="0"/>
              <w:rPr>
                <w:rFonts w:asciiTheme="majorBidi" w:eastAsiaTheme="minorHAnsi" w:hAnsiTheme="majorBidi" w:cstheme="majorBidi"/>
                <w:b w:val="0"/>
                <w:bCs w:val="0"/>
                <w:kern w:val="0"/>
                <w:sz w:val="18"/>
                <w:szCs w:val="18"/>
                <w:lang w:eastAsia="en-US"/>
              </w:rPr>
            </w:pPr>
            <w:r w:rsidRPr="004264CD">
              <w:rPr>
                <w:rFonts w:asciiTheme="majorBidi" w:hAnsiTheme="majorBidi" w:cstheme="majorBidi"/>
                <w:b w:val="0"/>
                <w:bCs w:val="0"/>
                <w:sz w:val="18"/>
                <w:szCs w:val="18"/>
              </w:rPr>
              <w:t>Fabrication of a glucose sensor based on a novel nanocomposite electrode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Biosensors &amp; Bioelectronics </w:t>
            </w:r>
            <w:r w:rsidRPr="004264CD">
              <w:rPr>
                <w:rFonts w:asciiTheme="majorBidi" w:hAnsiTheme="majorBidi" w:cstheme="majorBidi"/>
                <w:b/>
                <w:bCs/>
                <w:sz w:val="18"/>
                <w:szCs w:val="18"/>
              </w:rPr>
              <w:t>2009</w:t>
            </w:r>
            <w:r w:rsidRPr="004264CD">
              <w:rPr>
                <w:rFonts w:asciiTheme="majorBidi" w:hAnsiTheme="majorBidi" w:cstheme="majorBidi"/>
                <w:sz w:val="18"/>
                <w:szCs w:val="18"/>
              </w:rPr>
              <w:t>;24(6):1655-1660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218</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101</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Monot M, Honoré N, Garnier T,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Comparative genomic and phylogeographic analysis of Mycobacterium leprae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Nature Genetics </w:t>
            </w:r>
            <w:r w:rsidRPr="004264CD">
              <w:rPr>
                <w:rFonts w:asciiTheme="majorBidi" w:hAnsiTheme="majorBidi" w:cstheme="majorBidi"/>
                <w:b/>
                <w:bCs/>
                <w:sz w:val="18"/>
                <w:szCs w:val="18"/>
              </w:rPr>
              <w:t>2009</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41(12):1282-9</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205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102</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Kharaziha P, Hellström PM, Noorinayer B,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Improvement of liver function in liver cirrhosis patients after autologous mesenchymal stem cell injection: a phase I-II clinical trial</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European Journal of Gastroenterology &amp; Hepatology </w:t>
            </w:r>
            <w:r w:rsidRPr="004264CD">
              <w:rPr>
                <w:rFonts w:asciiTheme="majorBidi" w:hAnsiTheme="majorBidi" w:cstheme="majorBidi"/>
                <w:b/>
                <w:bCs/>
                <w:sz w:val="18"/>
                <w:szCs w:val="18"/>
              </w:rPr>
              <w:t>2009</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21(10):1199-205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202</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103</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Montazeri A</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Quality of life data as prognostic indicators of survival in cancer patients: an overview of the literature from 1982 to 2008</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Health and Quality of Life Outcomes </w:t>
            </w:r>
            <w:r w:rsidRPr="004264CD">
              <w:rPr>
                <w:rFonts w:asciiTheme="majorBidi" w:hAnsiTheme="majorBidi" w:cstheme="majorBidi"/>
                <w:b/>
                <w:bCs/>
                <w:sz w:val="18"/>
                <w:szCs w:val="18"/>
              </w:rPr>
              <w:t>2009</w:t>
            </w:r>
            <w:r w:rsidRPr="004264CD">
              <w:rPr>
                <w:rFonts w:asciiTheme="majorBidi" w:hAnsiTheme="majorBidi" w:cstheme="majorBidi"/>
                <w:sz w:val="18"/>
                <w:szCs w:val="18"/>
              </w:rPr>
              <w:t>;7:102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183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104</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Delavari A, Forouzanfar, MH, Alikhani S,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First Nationwide Study of the Prevalence of the Metabolic Syndrome and Optimal Cutoff Points of Waist Circumference in the Middle East The National Survey of Risk Factors for Noncommunicable Diseases of Iran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Diabetes Care </w:t>
            </w:r>
            <w:r w:rsidRPr="004264CD">
              <w:rPr>
                <w:rFonts w:asciiTheme="majorBidi" w:hAnsiTheme="majorBidi" w:cstheme="majorBidi"/>
                <w:b/>
                <w:bCs/>
                <w:sz w:val="18"/>
                <w:szCs w:val="18"/>
              </w:rPr>
              <w:t>2009</w:t>
            </w:r>
            <w:r w:rsidRPr="004264CD">
              <w:rPr>
                <w:rFonts w:asciiTheme="majorBidi" w:hAnsiTheme="majorBidi" w:cstheme="majorBidi"/>
                <w:sz w:val="18"/>
                <w:szCs w:val="18"/>
              </w:rPr>
              <w:t>;32(6):1029-1097</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181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105</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shd w:val="clear" w:color="auto" w:fill="F8F8F8"/>
              </w:rPr>
              <w:t>Meshkani R, Adeli K</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Hepatic insulin resistance, metabolic syndrome and cardiovascular disease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Clinical Biochemistry </w:t>
            </w:r>
            <w:r w:rsidRPr="004264CD">
              <w:rPr>
                <w:rFonts w:asciiTheme="majorBidi" w:hAnsiTheme="majorBidi" w:cstheme="majorBidi"/>
                <w:b/>
                <w:bCs/>
                <w:sz w:val="18"/>
                <w:szCs w:val="18"/>
              </w:rPr>
              <w:t>2009</w:t>
            </w:r>
            <w:r w:rsidRPr="004264CD">
              <w:rPr>
                <w:rFonts w:asciiTheme="majorBidi" w:hAnsiTheme="majorBidi" w:cstheme="majorBidi"/>
                <w:sz w:val="18"/>
                <w:szCs w:val="18"/>
              </w:rPr>
              <w:t>;42(13-14):1331-1346</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180</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106</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Akhondzadeh S, Jafari S, Raisi F,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Clinical trial of adjunctive celecoxib treatment in patients with major depression: a double blind and placebo controlled trial</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Depression and Anxiety </w:t>
            </w:r>
            <w:r w:rsidRPr="004264CD">
              <w:rPr>
                <w:rFonts w:asciiTheme="majorBidi" w:hAnsiTheme="majorBidi" w:cstheme="majorBidi"/>
                <w:b/>
                <w:bCs/>
                <w:sz w:val="18"/>
                <w:szCs w:val="18"/>
              </w:rPr>
              <w:t>2009</w:t>
            </w:r>
            <w:r w:rsidRPr="004264CD">
              <w:rPr>
                <w:rFonts w:asciiTheme="majorBidi" w:hAnsiTheme="majorBidi" w:cstheme="majorBidi"/>
                <w:sz w:val="18"/>
                <w:szCs w:val="18"/>
              </w:rPr>
              <w:t>;26(7):607-611</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171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107</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Ranjbar B, Gill P</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Circular Dichroism Techniques: Biomolecular and Nanostructural Analyses- A Review</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Chemical Biology &amp; Drug Design </w:t>
            </w:r>
            <w:r w:rsidRPr="004264CD">
              <w:rPr>
                <w:rFonts w:asciiTheme="majorBidi" w:hAnsiTheme="majorBidi" w:cstheme="majorBidi"/>
                <w:b/>
                <w:bCs/>
                <w:sz w:val="18"/>
                <w:szCs w:val="18"/>
              </w:rPr>
              <w:t>2009</w:t>
            </w:r>
            <w:r w:rsidRPr="004264CD">
              <w:rPr>
                <w:rFonts w:asciiTheme="majorBidi" w:hAnsiTheme="majorBidi" w:cstheme="majorBidi"/>
                <w:sz w:val="18"/>
                <w:szCs w:val="18"/>
              </w:rPr>
              <w:t>;74(2):101-120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108</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Ghasemi K, Ghasemi Y, Ebrahimzadeh MA</w:t>
            </w:r>
          </w:p>
        </w:tc>
        <w:tc>
          <w:tcPr>
            <w:tcW w:w="6662" w:type="dxa"/>
            <w:vAlign w:val="center"/>
          </w:tcPr>
          <w:p w:rsidR="00475AA3" w:rsidRPr="004264CD" w:rsidRDefault="00475AA3" w:rsidP="00CC47C1">
            <w:pPr>
              <w:tabs>
                <w:tab w:val="left" w:pos="1135"/>
              </w:tabs>
              <w:rPr>
                <w:rFonts w:asciiTheme="majorBidi" w:hAnsiTheme="majorBidi" w:cstheme="majorBidi"/>
                <w:sz w:val="18"/>
                <w:szCs w:val="18"/>
              </w:rPr>
            </w:pPr>
            <w:r w:rsidRPr="004264CD">
              <w:rPr>
                <w:rFonts w:asciiTheme="majorBidi" w:hAnsiTheme="majorBidi" w:cstheme="majorBidi"/>
                <w:sz w:val="18"/>
                <w:szCs w:val="18"/>
              </w:rPr>
              <w:t>Antioxidant activity, phenol and flavonoid contents of 13 citrus species peels and tissues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Pakistan Journal of Pharmaceutical Sciences </w:t>
            </w:r>
            <w:r w:rsidRPr="004264CD">
              <w:rPr>
                <w:rFonts w:asciiTheme="majorBidi" w:hAnsiTheme="majorBidi" w:cstheme="majorBidi"/>
                <w:b/>
                <w:bCs/>
                <w:sz w:val="18"/>
                <w:szCs w:val="18"/>
              </w:rPr>
              <w:t>2009</w:t>
            </w:r>
            <w:r w:rsidRPr="004264CD">
              <w:rPr>
                <w:rFonts w:asciiTheme="majorBidi" w:hAnsiTheme="majorBidi" w:cstheme="majorBidi"/>
                <w:sz w:val="18"/>
                <w:szCs w:val="18"/>
              </w:rPr>
              <w:t>;22(3):277-281</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109</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Parirokh M, Torabinejad M</w:t>
            </w:r>
          </w:p>
        </w:tc>
        <w:tc>
          <w:tcPr>
            <w:tcW w:w="6662" w:type="dxa"/>
            <w:vAlign w:val="center"/>
          </w:tcPr>
          <w:p w:rsidR="00475AA3" w:rsidRPr="004264CD" w:rsidRDefault="00475AA3" w:rsidP="00CC47C1">
            <w:pPr>
              <w:pStyle w:val="Heading1"/>
              <w:shd w:val="clear" w:color="auto" w:fill="FFFFFF"/>
              <w:spacing w:before="120" w:beforeAutospacing="0" w:after="120" w:afterAutospacing="0"/>
              <w:outlineLvl w:val="0"/>
              <w:rPr>
                <w:rFonts w:asciiTheme="majorBidi" w:eastAsiaTheme="minorHAnsi" w:hAnsiTheme="majorBidi" w:cstheme="majorBidi"/>
                <w:b w:val="0"/>
                <w:bCs w:val="0"/>
                <w:kern w:val="0"/>
                <w:sz w:val="18"/>
                <w:szCs w:val="18"/>
                <w:lang w:eastAsia="en-US"/>
              </w:rPr>
            </w:pPr>
            <w:r w:rsidRPr="004264CD">
              <w:rPr>
                <w:rFonts w:asciiTheme="majorBidi" w:hAnsiTheme="majorBidi" w:cstheme="majorBidi"/>
                <w:b w:val="0"/>
                <w:bCs w:val="0"/>
                <w:sz w:val="18"/>
                <w:szCs w:val="18"/>
              </w:rPr>
              <w:t>Mineral Trioxide Aggregate: A Comprehensive Literature Review-Part III: Clinical Applications, Drawbacks, and Mechanism of Action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Endodontics </w:t>
            </w:r>
            <w:r w:rsidRPr="004264CD">
              <w:rPr>
                <w:rFonts w:asciiTheme="majorBidi" w:hAnsiTheme="majorBidi" w:cstheme="majorBidi"/>
                <w:b/>
                <w:bCs/>
                <w:sz w:val="18"/>
                <w:szCs w:val="18"/>
              </w:rPr>
              <w:t>2010</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36(3):400-413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350</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110</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Parirokh M, Torabinejad M</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Mineral Trioxide Aggregate: A Comprehensive Literature Review-Part I: Chemical, Physical, and Antibacterial Properties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Endodontics </w:t>
            </w:r>
            <w:r w:rsidRPr="004264CD">
              <w:rPr>
                <w:rFonts w:asciiTheme="majorBidi" w:hAnsiTheme="majorBidi" w:cstheme="majorBidi"/>
                <w:b/>
                <w:bCs/>
                <w:sz w:val="18"/>
                <w:szCs w:val="18"/>
              </w:rPr>
              <w:t>2010</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36(1):16-27</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321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lastRenderedPageBreak/>
              <w:t>111</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Bousquet J, Mantzouranis E, Cruz AA,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Uniform definition of asthma severity, control, and exacerbations: Document presented for the World Health Organization Consultation on Severe Asthma</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The Journal of Allergy and Clinical Immunology </w:t>
            </w:r>
            <w:r w:rsidRPr="004264CD">
              <w:rPr>
                <w:rFonts w:asciiTheme="majorBidi" w:hAnsiTheme="majorBidi" w:cstheme="majorBidi"/>
                <w:b/>
                <w:bCs/>
                <w:sz w:val="18"/>
                <w:szCs w:val="18"/>
              </w:rPr>
              <w:t>2010</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126(5):926-938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304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112</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Torabinejad M, Parirokh M</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Mineral Trioxide Aggregate: A Comprehensive Literature Review-Part II: Leakage and Biocompatibility Investigations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Endodontics </w:t>
            </w:r>
            <w:r w:rsidRPr="004264CD">
              <w:rPr>
                <w:rFonts w:asciiTheme="majorBidi" w:hAnsiTheme="majorBidi" w:cstheme="majorBidi"/>
                <w:b/>
                <w:bCs/>
                <w:sz w:val="18"/>
                <w:szCs w:val="18"/>
              </w:rPr>
              <w:t>2010</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36(2):190-202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269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113</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Esmaeili M, Mohabatkar H, Mohsenzadeh S</w:t>
            </w:r>
          </w:p>
          <w:p w:rsidR="00475AA3" w:rsidRPr="004264CD" w:rsidRDefault="00475AA3" w:rsidP="00CC47C1">
            <w:pPr>
              <w:rPr>
                <w:rFonts w:asciiTheme="majorBidi" w:hAnsiTheme="majorBidi" w:cstheme="majorBidi"/>
                <w:sz w:val="18"/>
                <w:szCs w:val="18"/>
              </w:rPr>
            </w:pP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Using the concept of Chou's pseudo amino acid composition for risk type prediction of human papillomaviruses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Theoretical Biology </w:t>
            </w:r>
            <w:r w:rsidRPr="004264CD">
              <w:rPr>
                <w:rFonts w:asciiTheme="majorBidi" w:hAnsiTheme="majorBidi" w:cstheme="majorBidi"/>
                <w:b/>
                <w:bCs/>
                <w:sz w:val="18"/>
                <w:szCs w:val="18"/>
              </w:rPr>
              <w:t>2010</w:t>
            </w:r>
            <w:r w:rsidRPr="004264CD">
              <w:rPr>
                <w:rFonts w:asciiTheme="majorBidi" w:hAnsiTheme="majorBidi" w:cstheme="majorBidi"/>
                <w:sz w:val="18"/>
                <w:szCs w:val="18"/>
              </w:rPr>
              <w:t>;263(2):203-209</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258</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114</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Mohabatkar H</w:t>
            </w:r>
          </w:p>
          <w:p w:rsidR="00475AA3" w:rsidRPr="004264CD" w:rsidRDefault="00475AA3" w:rsidP="00CC47C1">
            <w:pPr>
              <w:rPr>
                <w:rFonts w:asciiTheme="majorBidi" w:eastAsia="Times New Roman" w:hAnsiTheme="majorBidi" w:cstheme="majorBidi"/>
                <w:sz w:val="18"/>
                <w:szCs w:val="18"/>
                <w:lang w:eastAsia="en-GB"/>
              </w:rPr>
            </w:pP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Prediction of Cyclin Proteins Using Chou's Pseudo Amino Acid Composition</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Protein and Peptide Letters </w:t>
            </w:r>
            <w:r w:rsidRPr="004264CD">
              <w:rPr>
                <w:rFonts w:asciiTheme="majorBidi" w:hAnsiTheme="majorBidi" w:cstheme="majorBidi"/>
                <w:b/>
                <w:bCs/>
                <w:sz w:val="18"/>
                <w:szCs w:val="18"/>
              </w:rPr>
              <w:t>2010</w:t>
            </w:r>
            <w:r w:rsidRPr="004264CD">
              <w:rPr>
                <w:rFonts w:asciiTheme="majorBidi" w:hAnsiTheme="majorBidi" w:cstheme="majorBidi"/>
                <w:sz w:val="18"/>
                <w:szCs w:val="18"/>
              </w:rPr>
              <w:t>;17(10):1207-1214</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215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115</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de Beaucoudrey L, Samarina A, Bustamante J,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Revisiting human IL-12Rβ1 deficiency: a survey of 141 patients from 30 countries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Medicine </w:t>
            </w:r>
            <w:r w:rsidRPr="004264CD">
              <w:rPr>
                <w:rFonts w:asciiTheme="majorBidi" w:hAnsiTheme="majorBidi" w:cstheme="majorBidi"/>
                <w:b/>
                <w:bCs/>
                <w:sz w:val="18"/>
                <w:szCs w:val="18"/>
              </w:rPr>
              <w:t>2010</w:t>
            </w:r>
            <w:r w:rsidRPr="004264CD">
              <w:rPr>
                <w:rFonts w:asciiTheme="majorBidi" w:hAnsiTheme="majorBidi" w:cstheme="majorBidi"/>
                <w:sz w:val="18"/>
                <w:szCs w:val="18"/>
              </w:rPr>
              <w:t>;89(6):381-402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116</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Grady CL, Protzner AB, Kovacevic N,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 multivariate analysis of age-related differences in default mode and task-positive networksacross multiple cognitive domains.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 xml:space="preserve">Cerebral Cortex </w:t>
            </w:r>
            <w:r w:rsidRPr="004264CD">
              <w:rPr>
                <w:rFonts w:asciiTheme="majorBidi" w:eastAsia="Times New Roman" w:hAnsiTheme="majorBidi" w:cstheme="majorBidi"/>
                <w:b/>
                <w:bCs/>
                <w:sz w:val="18"/>
                <w:szCs w:val="18"/>
                <w:lang w:eastAsia="en-GB"/>
              </w:rPr>
              <w:t>2010</w:t>
            </w:r>
            <w:r w:rsidRPr="004264CD">
              <w:rPr>
                <w:rFonts w:asciiTheme="majorBidi" w:eastAsia="Times New Roman" w:hAnsiTheme="majorBidi" w:cstheme="majorBidi"/>
                <w:sz w:val="18"/>
                <w:szCs w:val="18"/>
                <w:lang w:eastAsia="en-GB"/>
              </w:rPr>
              <w:t>; 20(6):1432-1447</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156</w:t>
            </w:r>
          </w:p>
          <w:p w:rsidR="00475AA3" w:rsidRPr="004264CD" w:rsidRDefault="00475AA3" w:rsidP="00CC47C1">
            <w:pPr>
              <w:jc w:val="center"/>
              <w:rPr>
                <w:rFonts w:asciiTheme="majorBidi" w:eastAsia="Times New Roman" w:hAnsiTheme="majorBidi" w:cstheme="majorBidi"/>
                <w:sz w:val="18"/>
                <w:szCs w:val="18"/>
                <w:lang w:eastAsia="en-GB"/>
              </w:rPr>
            </w:pPr>
          </w:p>
          <w:p w:rsidR="00475AA3" w:rsidRPr="004264CD" w:rsidRDefault="00475AA3" w:rsidP="00CC47C1">
            <w:pPr>
              <w:jc w:val="center"/>
              <w:rPr>
                <w:rFonts w:asciiTheme="majorBidi" w:hAnsiTheme="majorBidi" w:cstheme="majorBidi"/>
                <w:sz w:val="18"/>
                <w:szCs w:val="18"/>
              </w:rPr>
            </w:pP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117</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Mahmoudi M, Sant S, Wang B,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Superparamagnetic iron oxide nanoparticles (SPIONs): Development, surface modification and applications in chemotherapy</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 xml:space="preserve">Advanced Drug Delivery Reviews </w:t>
            </w:r>
            <w:r w:rsidRPr="004264CD">
              <w:rPr>
                <w:rFonts w:asciiTheme="majorBidi" w:hAnsiTheme="majorBidi" w:cstheme="majorBidi"/>
                <w:b/>
                <w:bCs/>
                <w:sz w:val="18"/>
                <w:szCs w:val="18"/>
              </w:rPr>
              <w:t>2011</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63(1-2):24-46</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hAnsiTheme="majorBidi" w:cstheme="majorBidi"/>
                <w:sz w:val="18"/>
                <w:szCs w:val="18"/>
              </w:rPr>
              <w:t>696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118</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Stagnaro-Green A, Abalovich M, Alexander E,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Guidelines of the American Thyroid Association for the Diagnosis and Management of Thyroid Disease During Pregnancy and Postpartum</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Thyroid: official journal of the American Thyroid Association </w:t>
            </w:r>
            <w:r w:rsidRPr="004264CD">
              <w:rPr>
                <w:rFonts w:asciiTheme="majorBidi" w:hAnsiTheme="majorBidi" w:cstheme="majorBidi"/>
                <w:b/>
                <w:bCs/>
                <w:sz w:val="18"/>
                <w:szCs w:val="18"/>
              </w:rPr>
              <w:t>2011</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21(10):1081-1125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665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119</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Yusuf S, Islam S, Chow CK,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Use of secondary prevention drugs for cardiovascular disease in the community in high-income, middle-income, and low-income countries (the PURE Study): a prospective epidemiological survey</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The Lancet </w:t>
            </w:r>
            <w:r w:rsidRPr="004264CD">
              <w:rPr>
                <w:rFonts w:asciiTheme="majorBidi" w:hAnsiTheme="majorBidi" w:cstheme="majorBidi"/>
                <w:b/>
                <w:bCs/>
                <w:sz w:val="18"/>
                <w:szCs w:val="18"/>
              </w:rPr>
              <w:t>2011</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378(9798):1231-1243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411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120</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International Stem Cell Initiative, Amps K, Andrews PW, et al.</w:t>
            </w:r>
          </w:p>
        </w:tc>
        <w:tc>
          <w:tcPr>
            <w:tcW w:w="6662" w:type="dxa"/>
            <w:vAlign w:val="center"/>
          </w:tcPr>
          <w:p w:rsidR="00475AA3" w:rsidRPr="004264CD" w:rsidRDefault="00475AA3" w:rsidP="00CC47C1">
            <w:pPr>
              <w:tabs>
                <w:tab w:val="left" w:pos="1230"/>
              </w:tabs>
              <w:rPr>
                <w:rFonts w:asciiTheme="majorBidi" w:hAnsiTheme="majorBidi" w:cstheme="majorBidi"/>
                <w:sz w:val="18"/>
                <w:szCs w:val="18"/>
              </w:rPr>
            </w:pPr>
            <w:r w:rsidRPr="004264CD">
              <w:rPr>
                <w:rFonts w:asciiTheme="majorBidi" w:hAnsiTheme="majorBidi" w:cstheme="majorBidi"/>
                <w:sz w:val="18"/>
                <w:szCs w:val="18"/>
              </w:rPr>
              <w:t>Screening ethnically diverse human embryonic stem cells identifies a chromosome 20 minimal amplicon conferring growth advantage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Nature Biotechnology </w:t>
            </w:r>
            <w:r w:rsidRPr="004264CD">
              <w:rPr>
                <w:rFonts w:asciiTheme="majorBidi" w:hAnsiTheme="majorBidi" w:cstheme="majorBidi"/>
                <w:b/>
                <w:bCs/>
                <w:sz w:val="18"/>
                <w:szCs w:val="18"/>
              </w:rPr>
              <w:t>2011</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29(12):1132-44</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224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121</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Simchi A, Tamjid E, Pishbin F,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Recent progress in inorganic and composite coatings with bactericidal capability for orthopaedic applications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Nanomedicine: Nanotechnology, Biology and Medicine </w:t>
            </w:r>
            <w:r w:rsidRPr="004264CD">
              <w:rPr>
                <w:rFonts w:asciiTheme="majorBidi" w:hAnsiTheme="majorBidi" w:cstheme="majorBidi"/>
                <w:b/>
                <w:bCs/>
                <w:sz w:val="18"/>
                <w:szCs w:val="18"/>
              </w:rPr>
              <w:t>2011</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7(1):22-39</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208</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122</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Mohabatkar H, Beigi  MM, Esmaeili A</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Prediction of GABA(A) receptor proteins using the concept of Chou's pseudo-amino acid composition and support vector machine</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Theoretical Biology </w:t>
            </w:r>
            <w:r w:rsidRPr="004264CD">
              <w:rPr>
                <w:rFonts w:asciiTheme="majorBidi" w:hAnsiTheme="majorBidi" w:cstheme="majorBidi"/>
                <w:b/>
                <w:bCs/>
                <w:sz w:val="18"/>
                <w:szCs w:val="18"/>
              </w:rPr>
              <w:t>2011</w:t>
            </w:r>
            <w:r w:rsidRPr="004264CD">
              <w:rPr>
                <w:rFonts w:asciiTheme="majorBidi" w:hAnsiTheme="majorBidi" w:cstheme="majorBidi"/>
                <w:sz w:val="18"/>
                <w:szCs w:val="18"/>
              </w:rPr>
              <w:t>;281(1):18-23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183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123</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Fedirko V, Tramacere I, Bagnardi V</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Alcohol drinking and colorectal cancer risk: an overall and dose-response meta-analysis of published studies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 xml:space="preserve">Annals of Oncology </w:t>
            </w:r>
            <w:r w:rsidRPr="004264CD">
              <w:rPr>
                <w:rFonts w:asciiTheme="majorBidi" w:eastAsia="Times New Roman" w:hAnsiTheme="majorBidi" w:cstheme="majorBidi"/>
                <w:b/>
                <w:bCs/>
                <w:sz w:val="18"/>
                <w:szCs w:val="18"/>
                <w:lang w:eastAsia="en-GB"/>
              </w:rPr>
              <w:t>2011</w:t>
            </w:r>
            <w:r w:rsidRPr="004264CD">
              <w:rPr>
                <w:rFonts w:asciiTheme="majorBidi" w:eastAsia="Times New Roman" w:hAnsiTheme="majorBidi" w:cstheme="majorBidi"/>
                <w:sz w:val="18"/>
                <w:szCs w:val="18"/>
                <w:lang w:eastAsia="en-GB"/>
              </w:rPr>
              <w:t>;22(9):1958-1972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eastAsia="Times New Roman" w:hAnsiTheme="majorBidi" w:cstheme="majorBidi"/>
                <w:sz w:val="18"/>
                <w:szCs w:val="18"/>
                <w:lang w:eastAsia="en-GB"/>
              </w:rPr>
              <w:t>172</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124</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Hawksworth DL, Crous PW, Redhead SA,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The Amsterdam Declaration on Fungal Nomenclature</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 xml:space="preserve">IMA Fungus </w:t>
            </w:r>
            <w:r w:rsidRPr="004264CD">
              <w:rPr>
                <w:rFonts w:asciiTheme="majorBidi" w:hAnsiTheme="majorBidi" w:cstheme="majorBidi"/>
                <w:b/>
                <w:bCs/>
                <w:sz w:val="18"/>
                <w:szCs w:val="18"/>
              </w:rPr>
              <w:t>2011</w:t>
            </w:r>
            <w:r w:rsidRPr="004264CD">
              <w:rPr>
                <w:rFonts w:asciiTheme="majorBidi" w:hAnsiTheme="majorBidi" w:cstheme="majorBidi"/>
                <w:sz w:val="18"/>
                <w:szCs w:val="18"/>
              </w:rPr>
              <w:t>;2(1):105-112</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169</w:t>
            </w:r>
          </w:p>
          <w:p w:rsidR="00475AA3" w:rsidRPr="004264CD" w:rsidRDefault="00475AA3" w:rsidP="00CC47C1">
            <w:pPr>
              <w:jc w:val="center"/>
              <w:rPr>
                <w:rFonts w:asciiTheme="majorBidi" w:eastAsia="Times New Roman" w:hAnsiTheme="majorBidi" w:cstheme="majorBidi"/>
                <w:sz w:val="18"/>
                <w:szCs w:val="18"/>
                <w:lang w:eastAsia="en-GB"/>
              </w:rPr>
            </w:pP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125</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Jadidi-Niaragh F, Mirshafiey A.</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Th17 Cell, the New Player of Neuroinflammatory Process in Multiple Sclerosis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Scandinavian Journal of Immunology </w:t>
            </w:r>
            <w:r w:rsidRPr="004264CD">
              <w:rPr>
                <w:rFonts w:asciiTheme="majorBidi" w:hAnsiTheme="majorBidi" w:cstheme="majorBidi"/>
                <w:b/>
                <w:bCs/>
                <w:sz w:val="18"/>
                <w:szCs w:val="18"/>
              </w:rPr>
              <w:t>2011</w:t>
            </w:r>
            <w:r w:rsidRPr="004264CD">
              <w:rPr>
                <w:rFonts w:asciiTheme="majorBidi" w:hAnsiTheme="majorBidi" w:cstheme="majorBidi"/>
                <w:sz w:val="18"/>
                <w:szCs w:val="18"/>
              </w:rPr>
              <w:t>;74(1):1-13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164</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126</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Dinarvand R, Sepehri N, Manoochehri S,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Polylactide-co-glycolide nanoparticles for controlled delivery of anticancer agents</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International Journal of Nanomedicine </w:t>
            </w:r>
            <w:r w:rsidRPr="004264CD">
              <w:rPr>
                <w:rFonts w:asciiTheme="majorBidi" w:hAnsiTheme="majorBidi" w:cstheme="majorBidi"/>
                <w:b/>
                <w:bCs/>
                <w:sz w:val="18"/>
                <w:szCs w:val="18"/>
              </w:rPr>
              <w:t>2011</w:t>
            </w:r>
            <w:r w:rsidRPr="004264CD">
              <w:rPr>
                <w:rFonts w:asciiTheme="majorBidi" w:hAnsiTheme="majorBidi" w:cstheme="majorBidi"/>
                <w:sz w:val="18"/>
                <w:szCs w:val="18"/>
              </w:rPr>
              <w:t>;6:877-895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156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127</w:t>
            </w:r>
          </w:p>
        </w:tc>
        <w:tc>
          <w:tcPr>
            <w:tcW w:w="3544"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Lim SS, Vos T, Flaxman AD,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 comparative risk assessment of burden of disease and injury attributable to 67 risk factors and risk factor clusters in 21 regions, 1990-2010: a systematic analysis for the Global Burden of Disease Study 2010</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 xml:space="preserve">The Lancet </w:t>
            </w:r>
            <w:r w:rsidRPr="004264CD">
              <w:rPr>
                <w:rFonts w:asciiTheme="majorBidi" w:eastAsia="Times New Roman" w:hAnsiTheme="majorBidi" w:cstheme="majorBidi"/>
                <w:b/>
                <w:bCs/>
                <w:sz w:val="18"/>
                <w:szCs w:val="18"/>
                <w:lang w:eastAsia="en-GB"/>
              </w:rPr>
              <w:t>2012</w:t>
            </w:r>
            <w:r w:rsidRPr="004264CD">
              <w:rPr>
                <w:rFonts w:asciiTheme="majorBidi" w:eastAsia="Times New Roman" w:hAnsiTheme="majorBidi" w:cstheme="majorBidi"/>
                <w:sz w:val="18"/>
                <w:szCs w:val="18"/>
                <w:lang w:eastAsia="en-GB"/>
              </w:rPr>
              <w:t>;380(9859):2224-2260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eastAsia="Times New Roman" w:hAnsiTheme="majorBidi" w:cstheme="majorBidi"/>
                <w:sz w:val="18"/>
                <w:szCs w:val="18"/>
                <w:lang w:eastAsia="en-GB"/>
              </w:rPr>
              <w:t>3,989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128</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Murray CJ, Vos T, Lozano R,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Disability-adjusted life years (DALYs) for 291 diseases and injuries in 21 regions, 1990-2010: a systematic analysis for the Global Burden of Disease Study 2010</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The Lancet </w:t>
            </w:r>
            <w:r w:rsidRPr="004264CD">
              <w:rPr>
                <w:rFonts w:asciiTheme="majorBidi" w:eastAsia="Times New Roman" w:hAnsiTheme="majorBidi" w:cstheme="majorBidi"/>
                <w:b/>
                <w:bCs/>
                <w:sz w:val="18"/>
                <w:szCs w:val="18"/>
                <w:lang w:eastAsia="en-GB"/>
              </w:rPr>
              <w:t>2012</w:t>
            </w:r>
            <w:r w:rsidRPr="004264CD">
              <w:rPr>
                <w:rFonts w:asciiTheme="majorBidi" w:eastAsia="Times New Roman" w:hAnsiTheme="majorBidi" w:cstheme="majorBidi"/>
                <w:sz w:val="18"/>
                <w:szCs w:val="18"/>
                <w:lang w:eastAsia="en-GB"/>
              </w:rPr>
              <w:t>;380(9859):2197-2223</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2,816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129</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Vos T, Flaxman AD, Naghavi M,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Years lived with disability (YLDs) for 1160 sequelae of 289 diseases and injuries 1990-2010: a systematic analysis for the Global Burden of Disease Study 2010</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The Lancet </w:t>
            </w:r>
            <w:r w:rsidRPr="004264CD">
              <w:rPr>
                <w:rFonts w:asciiTheme="majorBidi" w:eastAsia="Times New Roman" w:hAnsiTheme="majorBidi" w:cstheme="majorBidi"/>
                <w:b/>
                <w:bCs/>
                <w:sz w:val="18"/>
                <w:szCs w:val="18"/>
                <w:lang w:eastAsia="en-GB"/>
              </w:rPr>
              <w:t>2012</w:t>
            </w:r>
            <w:r w:rsidRPr="004264CD">
              <w:rPr>
                <w:rFonts w:asciiTheme="majorBidi" w:eastAsia="Times New Roman" w:hAnsiTheme="majorBidi" w:cstheme="majorBidi"/>
                <w:sz w:val="18"/>
                <w:szCs w:val="18"/>
                <w:lang w:eastAsia="en-GB"/>
              </w:rPr>
              <w:t>;380(9859):2163-96</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2,417</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130</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Klionsky DJ, Abdalla FC, Abeliovich H, et al.</w:t>
            </w:r>
          </w:p>
        </w:tc>
        <w:tc>
          <w:tcPr>
            <w:tcW w:w="6662" w:type="dxa"/>
            <w:vAlign w:val="center"/>
          </w:tcPr>
          <w:p w:rsidR="00475AA3" w:rsidRPr="004264CD" w:rsidRDefault="00475AA3" w:rsidP="00CC47C1">
            <w:pPr>
              <w:tabs>
                <w:tab w:val="left" w:pos="3010"/>
              </w:tabs>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Guidelines for the use and interpretation of assays for monitoring autophagy</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Autophagy </w:t>
            </w:r>
            <w:r w:rsidRPr="004264CD">
              <w:rPr>
                <w:rFonts w:asciiTheme="majorBidi" w:eastAsia="Times New Roman" w:hAnsiTheme="majorBidi" w:cstheme="majorBidi"/>
                <w:b/>
                <w:bCs/>
                <w:sz w:val="18"/>
                <w:szCs w:val="18"/>
                <w:lang w:eastAsia="en-GB"/>
              </w:rPr>
              <w:t>2012</w:t>
            </w:r>
            <w:r w:rsidRPr="004264CD">
              <w:rPr>
                <w:rFonts w:asciiTheme="majorBidi" w:eastAsia="Times New Roman" w:hAnsiTheme="majorBidi" w:cstheme="majorBidi"/>
                <w:sz w:val="18"/>
                <w:szCs w:val="18"/>
                <w:lang w:eastAsia="en-GB"/>
              </w:rPr>
              <w:t>;8(4):445-544</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2,001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lastRenderedPageBreak/>
              <w:t>131</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Hajipour MJ,  Fromm KM, Ashkarran, Ashkarran AA,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Antibacterial properties of nanoparticles</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Trends in Biotechnology </w:t>
            </w:r>
            <w:r w:rsidRPr="004264CD">
              <w:rPr>
                <w:rFonts w:asciiTheme="majorBidi" w:eastAsia="Times New Roman" w:hAnsiTheme="majorBidi" w:cstheme="majorBidi"/>
                <w:b/>
                <w:bCs/>
                <w:sz w:val="18"/>
                <w:szCs w:val="18"/>
                <w:lang w:eastAsia="en-GB"/>
              </w:rPr>
              <w:t>2012</w:t>
            </w:r>
            <w:r w:rsidRPr="004264CD">
              <w:rPr>
                <w:rFonts w:asciiTheme="majorBidi" w:eastAsia="Times New Roman" w:hAnsiTheme="majorBidi" w:cstheme="majorBidi"/>
                <w:sz w:val="18"/>
                <w:szCs w:val="18"/>
                <w:lang w:eastAsia="en-GB"/>
              </w:rPr>
              <w:t>;30(10):499-511</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516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132</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Salomon JA, Vos T, Hogan DR,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Common values in assessing health outcomes from disease and injury: disability weights measurement study for the Global Burden of Disease Study 2010</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The Lancet </w:t>
            </w:r>
            <w:r w:rsidRPr="004264CD">
              <w:rPr>
                <w:rFonts w:asciiTheme="majorBidi" w:eastAsia="Times New Roman" w:hAnsiTheme="majorBidi" w:cstheme="majorBidi"/>
                <w:b/>
                <w:bCs/>
                <w:sz w:val="18"/>
                <w:szCs w:val="18"/>
                <w:lang w:eastAsia="en-GB"/>
              </w:rPr>
              <w:t>2012</w:t>
            </w:r>
            <w:r w:rsidRPr="004264CD">
              <w:rPr>
                <w:rFonts w:asciiTheme="majorBidi" w:eastAsia="Times New Roman" w:hAnsiTheme="majorBidi" w:cstheme="majorBidi"/>
                <w:sz w:val="18"/>
                <w:szCs w:val="18"/>
                <w:lang w:eastAsia="en-GB"/>
              </w:rPr>
              <w:t>;380(9859):2129-43</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496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133</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Stevens GA, Singh GM, Lu Y,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National, regional, and global trends in adult overweight and obesity prevalences</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Population Health Metrics 2012;10(1):22</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280</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134</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Ahuja SD, Ashkin D, Avendano M,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Multidrug Resistant Pulmonary Tuberculosis Treatment Regimens and Patient Outcomes: An Individual Patient Data Meta-analysis of 9,153 Patients</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PloS Medicine </w:t>
            </w:r>
            <w:r w:rsidRPr="004264CD">
              <w:rPr>
                <w:rFonts w:asciiTheme="majorBidi" w:eastAsia="Times New Roman" w:hAnsiTheme="majorBidi" w:cstheme="majorBidi"/>
                <w:b/>
                <w:bCs/>
                <w:sz w:val="18"/>
                <w:szCs w:val="18"/>
                <w:lang w:eastAsia="en-GB"/>
              </w:rPr>
              <w:t>2012</w:t>
            </w:r>
            <w:r w:rsidRPr="004264CD">
              <w:rPr>
                <w:rFonts w:asciiTheme="majorBidi" w:eastAsia="Times New Roman" w:hAnsiTheme="majorBidi" w:cstheme="majorBidi"/>
                <w:sz w:val="18"/>
                <w:szCs w:val="18"/>
                <w:lang w:eastAsia="en-GB"/>
              </w:rPr>
              <w:t>;9(8):e1001300</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255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135</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Bousquet J, Schünemann HJ, Samolinski B,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Allergic Rhinitis and its Impact on Asthma (ARIA): Achievements in 10 years and future needs</w:t>
            </w:r>
          </w:p>
        </w:tc>
        <w:tc>
          <w:tcPr>
            <w:tcW w:w="4395" w:type="dxa"/>
            <w:vAlign w:val="center"/>
          </w:tcPr>
          <w:p w:rsidR="00475AA3" w:rsidRPr="004264CD" w:rsidRDefault="00475AA3" w:rsidP="00CC47C1">
            <w:pPr>
              <w:pStyle w:val="Heading1"/>
              <w:shd w:val="clear" w:color="auto" w:fill="FFFFFF"/>
              <w:spacing w:before="90" w:beforeAutospacing="0" w:after="90" w:afterAutospacing="0"/>
              <w:outlineLvl w:val="0"/>
              <w:rPr>
                <w:rFonts w:asciiTheme="majorBidi" w:hAnsiTheme="majorBidi" w:cstheme="majorBidi"/>
                <w:b w:val="0"/>
                <w:bCs w:val="0"/>
                <w:kern w:val="0"/>
                <w:sz w:val="18"/>
                <w:szCs w:val="18"/>
              </w:rPr>
            </w:pPr>
            <w:r w:rsidRPr="004264CD">
              <w:rPr>
                <w:rFonts w:asciiTheme="majorBidi" w:hAnsiTheme="majorBidi" w:cstheme="majorBidi"/>
                <w:b w:val="0"/>
                <w:bCs w:val="0"/>
                <w:kern w:val="0"/>
                <w:sz w:val="18"/>
                <w:szCs w:val="18"/>
              </w:rPr>
              <w:t xml:space="preserve">The Journal of allergy and clinical immunology </w:t>
            </w:r>
            <w:r w:rsidRPr="004264CD">
              <w:rPr>
                <w:rFonts w:asciiTheme="majorBidi" w:hAnsiTheme="majorBidi" w:cstheme="majorBidi"/>
                <w:kern w:val="0"/>
                <w:sz w:val="18"/>
                <w:szCs w:val="18"/>
              </w:rPr>
              <w:t>2012</w:t>
            </w:r>
            <w:r w:rsidRPr="004264CD">
              <w:rPr>
                <w:rFonts w:asciiTheme="majorBidi" w:hAnsiTheme="majorBidi" w:cstheme="majorBidi"/>
                <w:b w:val="0"/>
                <w:bCs w:val="0"/>
                <w:kern w:val="0"/>
                <w:sz w:val="18"/>
                <w:szCs w:val="18"/>
              </w:rPr>
              <w:t>;130(5):1049-1062</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246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136</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Collaborative Group on Hormonal Factors in Breast Cancer</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Menarche, menopause, and breast cancer risk: individual participant meta-analysis, including 118 964 women with breast cancer from 117 epidemiological studies</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The Lancet Oncology </w:t>
            </w:r>
            <w:r w:rsidRPr="004264CD">
              <w:rPr>
                <w:rFonts w:asciiTheme="majorBidi" w:eastAsia="Times New Roman" w:hAnsiTheme="majorBidi" w:cstheme="majorBidi"/>
                <w:b/>
                <w:bCs/>
                <w:sz w:val="18"/>
                <w:szCs w:val="18"/>
                <w:lang w:eastAsia="en-GB"/>
              </w:rPr>
              <w:t>2012</w:t>
            </w:r>
            <w:r w:rsidRPr="004264CD">
              <w:rPr>
                <w:rFonts w:asciiTheme="majorBidi" w:eastAsia="Times New Roman" w:hAnsiTheme="majorBidi" w:cstheme="majorBidi"/>
                <w:sz w:val="18"/>
                <w:szCs w:val="18"/>
                <w:lang w:eastAsia="en-GB"/>
              </w:rPr>
              <w:t>;13(11):1141-1151</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162</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137</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Nabavi SM, Nabavi SF, Eslami S,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In vivo protective effects of quercetin against sodium fluoride-induced oxidative stress in the hepatic tissue</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Food Chemistry </w:t>
            </w:r>
            <w:r w:rsidRPr="004264CD">
              <w:rPr>
                <w:rFonts w:asciiTheme="majorBidi" w:eastAsia="Times New Roman" w:hAnsiTheme="majorBidi" w:cstheme="majorBidi"/>
                <w:b/>
                <w:bCs/>
                <w:sz w:val="18"/>
                <w:szCs w:val="18"/>
                <w:lang w:eastAsia="en-GB"/>
              </w:rPr>
              <w:t>2012</w:t>
            </w:r>
            <w:r w:rsidRPr="004264CD">
              <w:rPr>
                <w:rFonts w:asciiTheme="majorBidi" w:eastAsia="Times New Roman" w:hAnsiTheme="majorBidi" w:cstheme="majorBidi"/>
                <w:sz w:val="18"/>
                <w:szCs w:val="18"/>
                <w:lang w:eastAsia="en-GB"/>
              </w:rPr>
              <w:t>;132(2):931-935</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156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138</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Davies C, Pan H, Godwin J,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Long-term effects of continuing adjuvant tamoxifen to 10 years versus stopping at 5 years after diagnosis of oestrogen receptor-positive breast cancer: ATLAS, a randomised trial</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The Lancet </w:t>
            </w:r>
            <w:r w:rsidRPr="004264CD">
              <w:rPr>
                <w:rFonts w:asciiTheme="majorBidi" w:hAnsiTheme="majorBidi" w:cstheme="majorBidi"/>
                <w:b/>
                <w:bCs/>
                <w:sz w:val="18"/>
                <w:szCs w:val="18"/>
              </w:rPr>
              <w:t>2013</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381(9869):805-816</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647</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139</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Klattenhoff CA, Scheuermann JC, Surface LE,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Braveheart, a Long Noncoding RNA Required for Cardiovascular Lineage Commitment</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Cell </w:t>
            </w:r>
            <w:r w:rsidRPr="004264CD">
              <w:rPr>
                <w:rFonts w:asciiTheme="majorBidi" w:hAnsiTheme="majorBidi" w:cstheme="majorBidi"/>
                <w:b/>
                <w:bCs/>
                <w:sz w:val="18"/>
                <w:szCs w:val="18"/>
              </w:rPr>
              <w:t>2013</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152(3):570-583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361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140</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Chow CK, Teo KK, Rangarajan S,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Prevalence, Awareness, Treatment, and Control of Hypertension in Rural and Urban Communities in High-, Middle-, and Low-Income Countries</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JAMA </w:t>
            </w:r>
            <w:r w:rsidRPr="004264CD">
              <w:rPr>
                <w:rFonts w:asciiTheme="majorBidi" w:eastAsia="Times New Roman" w:hAnsiTheme="majorBidi" w:cstheme="majorBidi"/>
                <w:b/>
                <w:bCs/>
                <w:sz w:val="18"/>
                <w:szCs w:val="18"/>
                <w:lang w:eastAsia="en-GB"/>
              </w:rPr>
              <w:t>2013</w:t>
            </w:r>
            <w:r w:rsidRPr="004264CD">
              <w:rPr>
                <w:rFonts w:asciiTheme="majorBidi" w:eastAsia="Times New Roman" w:hAnsiTheme="majorBidi" w:cstheme="majorBidi"/>
                <w:sz w:val="18"/>
                <w:szCs w:val="18"/>
                <w:lang w:eastAsia="en-GB"/>
              </w:rPr>
              <w:t>;310(9):959-968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310</w:t>
            </w:r>
          </w:p>
        </w:tc>
      </w:tr>
      <w:tr w:rsidR="004264CD" w:rsidRPr="004264CD" w:rsidTr="00CC47C1">
        <w:trPr>
          <w:trHeight w:val="377"/>
        </w:trPr>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141</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Mostafalou S, Abdollahi M.</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Pesticides and human chronic diseases: evidences, mechanisms, and perspectives</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Toxicology and Applied Pharmacology </w:t>
            </w:r>
            <w:r w:rsidRPr="004264CD">
              <w:rPr>
                <w:rFonts w:asciiTheme="majorBidi" w:eastAsia="Times New Roman" w:hAnsiTheme="majorBidi" w:cstheme="majorBidi"/>
                <w:b/>
                <w:bCs/>
                <w:sz w:val="18"/>
                <w:szCs w:val="18"/>
                <w:lang w:eastAsia="en-GB"/>
              </w:rPr>
              <w:t>2013</w:t>
            </w:r>
            <w:r w:rsidRPr="004264CD">
              <w:rPr>
                <w:rFonts w:asciiTheme="majorBidi" w:eastAsia="Times New Roman" w:hAnsiTheme="majorBidi" w:cstheme="majorBidi"/>
                <w:sz w:val="18"/>
                <w:szCs w:val="18"/>
                <w:lang w:eastAsia="en-GB"/>
              </w:rPr>
              <w:t>;268(2):157-177</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255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142</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Phillips AJ, Alves A, Abdollahzadeh J,et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The Botryosphaeriaceae: genera and species known from culture</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Studies in Mycology </w:t>
            </w:r>
            <w:r w:rsidRPr="004264CD">
              <w:rPr>
                <w:rFonts w:asciiTheme="majorBidi" w:eastAsia="Times New Roman" w:hAnsiTheme="majorBidi" w:cstheme="majorBidi"/>
                <w:b/>
                <w:bCs/>
                <w:sz w:val="18"/>
                <w:szCs w:val="18"/>
                <w:lang w:eastAsia="en-GB"/>
              </w:rPr>
              <w:t>2013</w:t>
            </w:r>
            <w:r w:rsidRPr="004264CD">
              <w:rPr>
                <w:rFonts w:asciiTheme="majorBidi" w:eastAsia="Times New Roman" w:hAnsiTheme="majorBidi" w:cstheme="majorBidi"/>
                <w:sz w:val="18"/>
                <w:szCs w:val="18"/>
                <w:lang w:eastAsia="en-GB"/>
              </w:rPr>
              <w:t>;76(1):51-167</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206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143</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Karimi-Maleh H, Biparva P, Hatami M.</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 novel modified carbon paste electrode based on NiO/CNTs nanocomposite and (9, 10-dihydro-9, 10-ethanoanthracene-11, 12-dicarboximido)-4-ethylbenzene-1, 2-diol as a mediator for simultaneous determination of cysteamine, nicotinamide adenine dinucleotide and folic acid</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Biosensors and Bioelectronics </w:t>
            </w:r>
            <w:r w:rsidRPr="004264CD">
              <w:rPr>
                <w:rFonts w:asciiTheme="majorBidi" w:eastAsia="Times New Roman" w:hAnsiTheme="majorBidi" w:cstheme="majorBidi"/>
                <w:b/>
                <w:bCs/>
                <w:sz w:val="18"/>
                <w:szCs w:val="18"/>
                <w:lang w:eastAsia="en-GB"/>
              </w:rPr>
              <w:t>2013</w:t>
            </w:r>
            <w:r w:rsidRPr="004264CD">
              <w:rPr>
                <w:rFonts w:asciiTheme="majorBidi" w:eastAsia="Times New Roman" w:hAnsiTheme="majorBidi" w:cstheme="majorBidi"/>
                <w:sz w:val="18"/>
                <w:szCs w:val="18"/>
                <w:lang w:eastAsia="en-GB"/>
              </w:rPr>
              <w:t>;48:270-275</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192</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144</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Di Cesare M, Khang YH, Asaria P,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Inequalities in non-communicable diseases and effective responses</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The Lancet </w:t>
            </w:r>
            <w:r w:rsidRPr="004264CD">
              <w:rPr>
                <w:rFonts w:asciiTheme="majorBidi" w:eastAsia="Times New Roman" w:hAnsiTheme="majorBidi" w:cstheme="majorBidi"/>
                <w:b/>
                <w:bCs/>
                <w:sz w:val="18"/>
                <w:szCs w:val="18"/>
                <w:lang w:eastAsia="en-GB"/>
              </w:rPr>
              <w:t>2013</w:t>
            </w:r>
            <w:r w:rsidRPr="004264CD">
              <w:rPr>
                <w:rFonts w:asciiTheme="majorBidi" w:eastAsia="Times New Roman" w:hAnsiTheme="majorBidi" w:cstheme="majorBidi"/>
                <w:sz w:val="18"/>
                <w:szCs w:val="18"/>
                <w:lang w:eastAsia="en-GB"/>
              </w:rPr>
              <w:t>;381(9866):585-597</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183</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145</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Modabbernia A, Taslimi S, Brietzke E,et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Cytokine alterations in bipolar disorder: a meta-analysis of 30 studies</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Biological Psychiatry </w:t>
            </w:r>
            <w:r w:rsidRPr="004264CD">
              <w:rPr>
                <w:rFonts w:asciiTheme="majorBidi" w:eastAsia="Times New Roman" w:hAnsiTheme="majorBidi" w:cstheme="majorBidi"/>
                <w:b/>
                <w:bCs/>
                <w:sz w:val="18"/>
                <w:szCs w:val="18"/>
                <w:lang w:eastAsia="en-GB"/>
              </w:rPr>
              <w:t>2013</w:t>
            </w:r>
            <w:r w:rsidRPr="004264CD">
              <w:rPr>
                <w:rFonts w:asciiTheme="majorBidi" w:eastAsia="Times New Roman" w:hAnsiTheme="majorBidi" w:cstheme="majorBidi"/>
                <w:sz w:val="18"/>
                <w:szCs w:val="18"/>
                <w:lang w:eastAsia="en-GB"/>
              </w:rPr>
              <w:t>;74(1):15-25</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hAnsiTheme="majorBidi" w:cstheme="majorBidi"/>
                <w:sz w:val="18"/>
                <w:szCs w:val="18"/>
              </w:rPr>
              <w:t>171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146</w:t>
            </w:r>
          </w:p>
        </w:tc>
        <w:tc>
          <w:tcPr>
            <w:tcW w:w="3544" w:type="dxa"/>
            <w:vAlign w:val="center"/>
          </w:tcPr>
          <w:p w:rsidR="00475AA3" w:rsidRPr="004264CD" w:rsidRDefault="00475AA3" w:rsidP="00CC47C1">
            <w:pPr>
              <w:rPr>
                <w:rFonts w:asciiTheme="majorBidi" w:eastAsia="Times New Roman" w:hAnsiTheme="majorBidi" w:cstheme="majorBidi"/>
                <w:sz w:val="18"/>
                <w:szCs w:val="18"/>
                <w:highlight w:val="yellow"/>
                <w:lang w:eastAsia="en-GB"/>
              </w:rPr>
            </w:pPr>
            <w:r w:rsidRPr="004264CD">
              <w:rPr>
                <w:rFonts w:asciiTheme="majorBidi" w:eastAsia="Times New Roman" w:hAnsiTheme="majorBidi" w:cstheme="majorBidi"/>
                <w:sz w:val="18"/>
                <w:szCs w:val="18"/>
                <w:lang w:eastAsia="en-GB"/>
              </w:rPr>
              <w:t>Ng M, Fleming T, Robinson M, et al.</w:t>
            </w:r>
          </w:p>
        </w:tc>
        <w:tc>
          <w:tcPr>
            <w:tcW w:w="6662" w:type="dxa"/>
            <w:vAlign w:val="center"/>
          </w:tcPr>
          <w:p w:rsidR="00475AA3" w:rsidRPr="004264CD" w:rsidRDefault="00475AA3" w:rsidP="00CC47C1">
            <w:pPr>
              <w:rPr>
                <w:rFonts w:asciiTheme="majorBidi" w:hAnsiTheme="majorBidi" w:cstheme="majorBidi"/>
                <w:sz w:val="18"/>
                <w:szCs w:val="18"/>
                <w:highlight w:val="yellow"/>
              </w:rPr>
            </w:pPr>
            <w:r w:rsidRPr="004264CD">
              <w:rPr>
                <w:rFonts w:asciiTheme="majorBidi" w:hAnsiTheme="majorBidi" w:cstheme="majorBidi"/>
                <w:sz w:val="18"/>
                <w:szCs w:val="18"/>
              </w:rPr>
              <w:t>Global, regional, and national prevalence of overweight and obesity in children and adults during 1980-2013: a systematic analysis for the Global Burden of Disease Study 2013</w:t>
            </w:r>
          </w:p>
        </w:tc>
        <w:tc>
          <w:tcPr>
            <w:tcW w:w="4395" w:type="dxa"/>
            <w:vAlign w:val="center"/>
          </w:tcPr>
          <w:p w:rsidR="00475AA3" w:rsidRPr="004264CD" w:rsidRDefault="00475AA3" w:rsidP="00CC47C1">
            <w:pPr>
              <w:rPr>
                <w:rFonts w:asciiTheme="majorBidi" w:hAnsiTheme="majorBidi" w:cstheme="majorBidi"/>
                <w:sz w:val="18"/>
                <w:szCs w:val="18"/>
                <w:highlight w:val="yellow"/>
              </w:rPr>
            </w:pPr>
            <w:r w:rsidRPr="004264CD">
              <w:rPr>
                <w:rFonts w:asciiTheme="majorBidi" w:hAnsiTheme="majorBidi" w:cstheme="majorBidi"/>
                <w:sz w:val="18"/>
                <w:szCs w:val="18"/>
              </w:rPr>
              <w:t xml:space="preserve">The Lancet </w:t>
            </w:r>
            <w:r w:rsidRPr="004264CD">
              <w:rPr>
                <w:rFonts w:asciiTheme="majorBidi" w:hAnsiTheme="majorBidi" w:cstheme="majorBidi"/>
                <w:b/>
                <w:bCs/>
                <w:sz w:val="18"/>
                <w:szCs w:val="18"/>
              </w:rPr>
              <w:t>2014</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384(9945):766-81</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2,521</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147</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Kassebaum NJ, Bertozzi-Villa A, Coggeshall MS, et al.</w:t>
            </w:r>
          </w:p>
        </w:tc>
        <w:tc>
          <w:tcPr>
            <w:tcW w:w="6662"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Global, regional, and national levels and causes of maternal mortality during 1990-2013: a systematic analysis for the Global Burden of Disease Study 2013</w:t>
            </w:r>
          </w:p>
        </w:tc>
        <w:tc>
          <w:tcPr>
            <w:tcW w:w="4395" w:type="dxa"/>
            <w:vAlign w:val="center"/>
          </w:tcPr>
          <w:p w:rsidR="00475AA3" w:rsidRPr="004264CD" w:rsidRDefault="00475AA3" w:rsidP="00CC47C1">
            <w:pPr>
              <w:rPr>
                <w:rFonts w:asciiTheme="majorBidi" w:hAnsiTheme="majorBidi" w:cstheme="majorBidi"/>
                <w:sz w:val="18"/>
                <w:szCs w:val="18"/>
              </w:rPr>
            </w:pPr>
            <w:r w:rsidRPr="004264CD">
              <w:rPr>
                <w:rFonts w:asciiTheme="majorBidi" w:hAnsiTheme="majorBidi" w:cstheme="majorBidi"/>
                <w:sz w:val="18"/>
                <w:szCs w:val="18"/>
              </w:rPr>
              <w:t xml:space="preserve">The Lancet </w:t>
            </w:r>
            <w:r w:rsidRPr="004264CD">
              <w:rPr>
                <w:rFonts w:asciiTheme="majorBidi" w:hAnsiTheme="majorBidi" w:cstheme="majorBidi"/>
                <w:b/>
                <w:bCs/>
                <w:sz w:val="18"/>
                <w:szCs w:val="18"/>
              </w:rPr>
              <w:t>2014</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384(9947):980-1004</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410</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148</w:t>
            </w:r>
          </w:p>
        </w:tc>
        <w:tc>
          <w:tcPr>
            <w:tcW w:w="3544" w:type="dxa"/>
            <w:vAlign w:val="center"/>
          </w:tcPr>
          <w:p w:rsidR="00475AA3" w:rsidRPr="004264CD" w:rsidRDefault="00475AA3" w:rsidP="00CC47C1">
            <w:pPr>
              <w:rPr>
                <w:rFonts w:asciiTheme="majorBidi" w:eastAsia="Times New Roman" w:hAnsiTheme="majorBidi" w:cstheme="majorBidi"/>
                <w:sz w:val="18"/>
                <w:szCs w:val="18"/>
                <w:highlight w:val="yellow"/>
                <w:lang w:eastAsia="en-GB"/>
              </w:rPr>
            </w:pPr>
            <w:r w:rsidRPr="004264CD">
              <w:rPr>
                <w:rFonts w:asciiTheme="majorBidi" w:eastAsia="Times New Roman" w:hAnsiTheme="majorBidi" w:cstheme="majorBidi"/>
                <w:sz w:val="18"/>
                <w:szCs w:val="18"/>
                <w:lang w:eastAsia="en-GB"/>
              </w:rPr>
              <w:t>Murray CJ, Ortblad KF, Guinovart C1, et al</w:t>
            </w:r>
          </w:p>
        </w:tc>
        <w:tc>
          <w:tcPr>
            <w:tcW w:w="6662" w:type="dxa"/>
            <w:vAlign w:val="center"/>
          </w:tcPr>
          <w:p w:rsidR="00475AA3" w:rsidRPr="004264CD" w:rsidRDefault="00475AA3" w:rsidP="00CC47C1">
            <w:pPr>
              <w:rPr>
                <w:rFonts w:asciiTheme="majorBidi" w:hAnsiTheme="majorBidi" w:cstheme="majorBidi"/>
                <w:sz w:val="18"/>
                <w:szCs w:val="18"/>
                <w:highlight w:val="yellow"/>
              </w:rPr>
            </w:pPr>
            <w:r w:rsidRPr="004264CD">
              <w:rPr>
                <w:rFonts w:asciiTheme="majorBidi" w:hAnsiTheme="majorBidi" w:cstheme="majorBidi"/>
                <w:sz w:val="18"/>
                <w:szCs w:val="18"/>
              </w:rPr>
              <w:t>Global, regional, and national incidence and mortality for HIV, tuberculosis, and malaria during 1990-2013: a systematic analysis for the Global Burden of Disease Study 2013</w:t>
            </w:r>
          </w:p>
        </w:tc>
        <w:tc>
          <w:tcPr>
            <w:tcW w:w="4395" w:type="dxa"/>
            <w:vAlign w:val="center"/>
          </w:tcPr>
          <w:p w:rsidR="00475AA3" w:rsidRPr="004264CD" w:rsidRDefault="00475AA3" w:rsidP="00CC47C1">
            <w:pPr>
              <w:rPr>
                <w:rFonts w:asciiTheme="majorBidi" w:hAnsiTheme="majorBidi" w:cstheme="majorBidi"/>
                <w:sz w:val="18"/>
                <w:szCs w:val="18"/>
                <w:highlight w:val="yellow"/>
              </w:rPr>
            </w:pPr>
            <w:r w:rsidRPr="004264CD">
              <w:rPr>
                <w:rFonts w:asciiTheme="majorBidi" w:hAnsiTheme="majorBidi" w:cstheme="majorBidi"/>
                <w:sz w:val="18"/>
                <w:szCs w:val="18"/>
              </w:rPr>
              <w:t xml:space="preserve">The Lancet </w:t>
            </w:r>
            <w:r w:rsidRPr="004264CD">
              <w:rPr>
                <w:rFonts w:asciiTheme="majorBidi" w:hAnsiTheme="majorBidi" w:cstheme="majorBidi"/>
                <w:b/>
                <w:bCs/>
                <w:sz w:val="18"/>
                <w:szCs w:val="18"/>
              </w:rPr>
              <w:t>2014</w:t>
            </w:r>
            <w:r w:rsidRPr="004264CD">
              <w:rPr>
                <w:rFonts w:asciiTheme="majorBidi" w:hAnsiTheme="majorBidi" w:cstheme="majorBidi"/>
                <w:sz w:val="18"/>
                <w:szCs w:val="18"/>
              </w:rPr>
              <w:t>;</w:t>
            </w:r>
            <w:r w:rsidRPr="004264CD">
              <w:rPr>
                <w:rFonts w:asciiTheme="majorBidi" w:hAnsiTheme="majorBidi" w:cstheme="majorBidi"/>
                <w:sz w:val="18"/>
                <w:szCs w:val="18"/>
                <w:shd w:val="clear" w:color="auto" w:fill="FFFFFF"/>
              </w:rPr>
              <w:t>384(9947):1005-1070</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330</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149</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Wang H, Liddell CA, Coates MM,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Global, regional, and national levels of neonatal, infant, and under-5 mortality during 1990-2013: a systematic analysis for the Global Burden of Disease Study 2013</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 xml:space="preserve">The Lancet </w:t>
            </w:r>
            <w:r w:rsidRPr="004264CD">
              <w:rPr>
                <w:rFonts w:asciiTheme="majorBidi" w:hAnsiTheme="majorBidi" w:cstheme="majorBidi"/>
                <w:b/>
                <w:bCs/>
                <w:sz w:val="18"/>
                <w:szCs w:val="18"/>
              </w:rPr>
              <w:t>2014</w:t>
            </w:r>
            <w:r w:rsidRPr="004264CD">
              <w:rPr>
                <w:rFonts w:asciiTheme="majorBidi" w:hAnsiTheme="majorBidi" w:cstheme="majorBidi"/>
                <w:sz w:val="18"/>
                <w:szCs w:val="18"/>
              </w:rPr>
              <w:t>;384(9947):957-979</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257</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151</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O'Donnell M, Mente A, Rangarajan S,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Urinary sodium and potassium excretion, mortality, and cardiovascular events</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The New England Journal of Medicine </w:t>
            </w:r>
            <w:r w:rsidRPr="004264CD">
              <w:rPr>
                <w:rFonts w:asciiTheme="majorBidi" w:eastAsia="Times New Roman" w:hAnsiTheme="majorBidi" w:cstheme="majorBidi"/>
                <w:b/>
                <w:bCs/>
                <w:sz w:val="18"/>
                <w:szCs w:val="18"/>
                <w:lang w:eastAsia="en-GB"/>
              </w:rPr>
              <w:t>2014;</w:t>
            </w:r>
            <w:r w:rsidRPr="004264CD">
              <w:rPr>
                <w:rFonts w:asciiTheme="majorBidi" w:eastAsia="Times New Roman" w:hAnsiTheme="majorBidi" w:cstheme="majorBidi"/>
                <w:sz w:val="18"/>
                <w:szCs w:val="18"/>
                <w:lang w:eastAsia="en-GB"/>
              </w:rPr>
              <w:t xml:space="preserve"> 371(7):612-623</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249</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150</w:t>
            </w:r>
          </w:p>
        </w:tc>
        <w:tc>
          <w:tcPr>
            <w:tcW w:w="3544" w:type="dxa"/>
            <w:vAlign w:val="center"/>
          </w:tcPr>
          <w:p w:rsidR="00475AA3" w:rsidRPr="004264CD" w:rsidRDefault="00475AA3" w:rsidP="00CC47C1">
            <w:pPr>
              <w:rPr>
                <w:rFonts w:asciiTheme="majorBidi" w:eastAsia="Times New Roman" w:hAnsiTheme="majorBidi" w:cstheme="majorBidi"/>
                <w:sz w:val="18"/>
                <w:szCs w:val="18"/>
                <w:highlight w:val="yellow"/>
                <w:lang w:eastAsia="en-GB"/>
              </w:rPr>
            </w:pPr>
            <w:r w:rsidRPr="004264CD">
              <w:rPr>
                <w:rFonts w:asciiTheme="majorBidi" w:eastAsia="Times New Roman" w:hAnsiTheme="majorBidi" w:cstheme="majorBidi"/>
                <w:sz w:val="18"/>
                <w:szCs w:val="18"/>
                <w:lang w:eastAsia="en-GB"/>
              </w:rPr>
              <w:t>Ghavami S, Shojaei S, Yeganeh B, et al.</w:t>
            </w:r>
          </w:p>
        </w:tc>
        <w:tc>
          <w:tcPr>
            <w:tcW w:w="6662" w:type="dxa"/>
            <w:vAlign w:val="center"/>
          </w:tcPr>
          <w:p w:rsidR="00475AA3" w:rsidRPr="004264CD" w:rsidRDefault="00475AA3" w:rsidP="00CC47C1">
            <w:pPr>
              <w:rPr>
                <w:rFonts w:asciiTheme="majorBidi" w:eastAsia="Times New Roman" w:hAnsiTheme="majorBidi" w:cstheme="majorBidi"/>
                <w:sz w:val="18"/>
                <w:szCs w:val="18"/>
                <w:highlight w:val="yellow"/>
                <w:lang w:eastAsia="en-GB"/>
              </w:rPr>
            </w:pPr>
            <w:r w:rsidRPr="004264CD">
              <w:rPr>
                <w:rFonts w:asciiTheme="majorBidi" w:eastAsia="Times New Roman" w:hAnsiTheme="majorBidi" w:cstheme="majorBidi"/>
                <w:sz w:val="18"/>
                <w:szCs w:val="18"/>
                <w:lang w:eastAsia="en-GB"/>
              </w:rPr>
              <w:t>Autophagy and apoptosis dysfunction in neurodegenerative disorders</w:t>
            </w:r>
          </w:p>
        </w:tc>
        <w:tc>
          <w:tcPr>
            <w:tcW w:w="4395" w:type="dxa"/>
            <w:vAlign w:val="center"/>
          </w:tcPr>
          <w:p w:rsidR="00475AA3" w:rsidRPr="004264CD" w:rsidRDefault="00475AA3" w:rsidP="00CC47C1">
            <w:pPr>
              <w:rPr>
                <w:rFonts w:asciiTheme="majorBidi" w:eastAsia="Times New Roman" w:hAnsiTheme="majorBidi" w:cstheme="majorBidi"/>
                <w:sz w:val="18"/>
                <w:szCs w:val="18"/>
                <w:highlight w:val="yellow"/>
                <w:lang w:eastAsia="en-GB"/>
              </w:rPr>
            </w:pPr>
            <w:r w:rsidRPr="004264CD">
              <w:rPr>
                <w:rFonts w:asciiTheme="majorBidi" w:eastAsia="Times New Roman" w:hAnsiTheme="majorBidi" w:cstheme="majorBidi"/>
                <w:sz w:val="18"/>
                <w:szCs w:val="18"/>
                <w:lang w:eastAsia="en-GB"/>
              </w:rPr>
              <w:t xml:space="preserve">Progress in Neurobiology </w:t>
            </w:r>
            <w:r w:rsidRPr="004264CD">
              <w:rPr>
                <w:rFonts w:asciiTheme="majorBidi" w:eastAsia="Times New Roman" w:hAnsiTheme="majorBidi" w:cstheme="majorBidi"/>
                <w:b/>
                <w:bCs/>
                <w:sz w:val="18"/>
                <w:szCs w:val="18"/>
                <w:lang w:eastAsia="en-GB"/>
              </w:rPr>
              <w:t>2014</w:t>
            </w:r>
            <w:r w:rsidRPr="004264CD">
              <w:rPr>
                <w:rFonts w:asciiTheme="majorBidi" w:eastAsia="Times New Roman" w:hAnsiTheme="majorBidi" w:cstheme="majorBidi"/>
                <w:sz w:val="18"/>
                <w:szCs w:val="18"/>
                <w:lang w:eastAsia="en-GB"/>
              </w:rPr>
              <w:t>;112:24-49</w:t>
            </w:r>
          </w:p>
        </w:tc>
        <w:tc>
          <w:tcPr>
            <w:tcW w:w="850" w:type="dxa"/>
            <w:vAlign w:val="center"/>
          </w:tcPr>
          <w:p w:rsidR="00475AA3" w:rsidRPr="004264CD" w:rsidRDefault="00475AA3" w:rsidP="00CC47C1">
            <w:pPr>
              <w:jc w:val="center"/>
              <w:rPr>
                <w:rFonts w:asciiTheme="majorBidi" w:eastAsia="Times New Roman" w:hAnsiTheme="majorBidi" w:cstheme="majorBidi"/>
                <w:sz w:val="18"/>
                <w:szCs w:val="18"/>
                <w:lang w:eastAsia="en-GB"/>
              </w:rPr>
            </w:pPr>
            <w:r w:rsidRPr="004264CD">
              <w:rPr>
                <w:rFonts w:asciiTheme="majorBidi" w:hAnsiTheme="majorBidi" w:cstheme="majorBidi"/>
                <w:sz w:val="18"/>
                <w:szCs w:val="18"/>
              </w:rPr>
              <w:t>238</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lastRenderedPageBreak/>
              <w:t>152</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Muthuri SG, Venkatesan S, Myles PR,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Effectiveness of neuraminidase inhibitors in reducing mortality in patients admitted to hospital with influenza A H1N1pdm09 virus infection: a meta-analysis of individual participant data</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The Lancet Respiratory Medicine </w:t>
            </w:r>
            <w:r w:rsidRPr="004264CD">
              <w:rPr>
                <w:rFonts w:asciiTheme="majorBidi" w:eastAsia="Times New Roman" w:hAnsiTheme="majorBidi" w:cstheme="majorBidi"/>
                <w:b/>
                <w:bCs/>
                <w:sz w:val="18"/>
                <w:szCs w:val="18"/>
                <w:lang w:eastAsia="en-GB"/>
              </w:rPr>
              <w:t>2014</w:t>
            </w:r>
            <w:r w:rsidRPr="004264CD">
              <w:rPr>
                <w:rFonts w:asciiTheme="majorBidi" w:eastAsia="Times New Roman" w:hAnsiTheme="majorBidi" w:cstheme="majorBidi"/>
                <w:sz w:val="18"/>
                <w:szCs w:val="18"/>
                <w:lang w:eastAsia="en-GB"/>
              </w:rPr>
              <w:t>;2(5):395-404</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205</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153</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Mente A, O'Donnell MJ, Rangarajan S,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Association of urinary sodium and potassium excretion with blood pressure</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The New England Journal of Medicine </w:t>
            </w:r>
            <w:r w:rsidRPr="004264CD">
              <w:rPr>
                <w:rFonts w:asciiTheme="majorBidi" w:eastAsia="Times New Roman" w:hAnsiTheme="majorBidi" w:cstheme="majorBidi"/>
                <w:b/>
                <w:bCs/>
                <w:sz w:val="18"/>
                <w:szCs w:val="18"/>
                <w:lang w:eastAsia="en-GB"/>
              </w:rPr>
              <w:t>2014</w:t>
            </w:r>
            <w:r w:rsidRPr="004264CD">
              <w:rPr>
                <w:rFonts w:asciiTheme="majorBidi" w:eastAsia="Times New Roman" w:hAnsiTheme="majorBidi" w:cstheme="majorBidi"/>
                <w:sz w:val="18"/>
                <w:szCs w:val="18"/>
                <w:lang w:eastAsia="en-GB"/>
              </w:rPr>
              <w:t>; 371(7):601-611</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196</w:t>
            </w: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154</w:t>
            </w:r>
          </w:p>
        </w:tc>
        <w:tc>
          <w:tcPr>
            <w:tcW w:w="3544"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Yusuf S, Rangarajan S, Teo K, et al</w:t>
            </w:r>
          </w:p>
        </w:tc>
        <w:tc>
          <w:tcPr>
            <w:tcW w:w="6662"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Cardiovascular risk and events in 17 low-, middle-, and high-income countries</w:t>
            </w:r>
          </w:p>
        </w:tc>
        <w:tc>
          <w:tcPr>
            <w:tcW w:w="4395" w:type="dxa"/>
            <w:vAlign w:val="center"/>
          </w:tcPr>
          <w:p w:rsidR="00475AA3" w:rsidRPr="004264CD" w:rsidRDefault="00475AA3"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The New England Journal of Medicine </w:t>
            </w:r>
            <w:r w:rsidRPr="004264CD">
              <w:rPr>
                <w:rFonts w:asciiTheme="majorBidi" w:eastAsia="Times New Roman" w:hAnsiTheme="majorBidi" w:cstheme="majorBidi"/>
                <w:b/>
                <w:bCs/>
                <w:sz w:val="18"/>
                <w:szCs w:val="18"/>
                <w:lang w:eastAsia="en-GB"/>
              </w:rPr>
              <w:t>2014</w:t>
            </w:r>
            <w:r w:rsidRPr="004264CD">
              <w:rPr>
                <w:rFonts w:asciiTheme="majorBidi" w:eastAsia="Times New Roman" w:hAnsiTheme="majorBidi" w:cstheme="majorBidi"/>
                <w:sz w:val="18"/>
                <w:szCs w:val="18"/>
                <w:lang w:eastAsia="en-GB"/>
              </w:rPr>
              <w:t>; 371(9): 818-827</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180</w:t>
            </w:r>
          </w:p>
          <w:p w:rsidR="00475AA3" w:rsidRPr="004264CD" w:rsidRDefault="00475AA3" w:rsidP="00CC47C1">
            <w:pPr>
              <w:jc w:val="center"/>
              <w:rPr>
                <w:rFonts w:asciiTheme="majorBidi" w:hAnsiTheme="majorBidi" w:cstheme="majorBidi"/>
                <w:sz w:val="18"/>
                <w:szCs w:val="18"/>
              </w:rPr>
            </w:pPr>
          </w:p>
        </w:tc>
      </w:tr>
      <w:tr w:rsidR="004264CD" w:rsidRPr="004264CD" w:rsidTr="00CC47C1">
        <w:tc>
          <w:tcPr>
            <w:tcW w:w="567"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155</w:t>
            </w:r>
          </w:p>
        </w:tc>
        <w:tc>
          <w:tcPr>
            <w:tcW w:w="3544" w:type="dxa"/>
            <w:vAlign w:val="center"/>
          </w:tcPr>
          <w:p w:rsidR="00475AA3" w:rsidRPr="004264CD" w:rsidRDefault="00475AA3" w:rsidP="00CC47C1">
            <w:pPr>
              <w:rPr>
                <w:rFonts w:asciiTheme="majorBidi" w:eastAsia="Times New Roman" w:hAnsiTheme="majorBidi" w:cstheme="majorBidi"/>
                <w:sz w:val="18"/>
                <w:szCs w:val="18"/>
                <w:highlight w:val="yellow"/>
                <w:lang w:eastAsia="en-GB"/>
              </w:rPr>
            </w:pPr>
            <w:r w:rsidRPr="004264CD">
              <w:rPr>
                <w:rFonts w:asciiTheme="majorBidi" w:eastAsia="Times New Roman" w:hAnsiTheme="majorBidi" w:cstheme="majorBidi"/>
                <w:sz w:val="18"/>
                <w:szCs w:val="18"/>
                <w:lang w:eastAsia="en-GB"/>
              </w:rPr>
              <w:t>Oryan A, Alidadi S, Moshiri A, et al.</w:t>
            </w:r>
          </w:p>
        </w:tc>
        <w:tc>
          <w:tcPr>
            <w:tcW w:w="6662" w:type="dxa"/>
            <w:vAlign w:val="center"/>
          </w:tcPr>
          <w:p w:rsidR="00475AA3" w:rsidRPr="004264CD" w:rsidRDefault="00475AA3" w:rsidP="00CC47C1">
            <w:pPr>
              <w:rPr>
                <w:rFonts w:asciiTheme="majorBidi" w:eastAsia="Times New Roman" w:hAnsiTheme="majorBidi" w:cstheme="majorBidi"/>
                <w:sz w:val="18"/>
                <w:szCs w:val="18"/>
                <w:highlight w:val="yellow"/>
                <w:lang w:eastAsia="en-GB"/>
              </w:rPr>
            </w:pPr>
            <w:r w:rsidRPr="004264CD">
              <w:rPr>
                <w:rFonts w:asciiTheme="majorBidi" w:eastAsia="Times New Roman" w:hAnsiTheme="majorBidi" w:cstheme="majorBidi"/>
                <w:sz w:val="18"/>
                <w:szCs w:val="18"/>
                <w:lang w:eastAsia="en-GB"/>
              </w:rPr>
              <w:t>Bone regenerative medicine: classic options, novel strategies, and future directions</w:t>
            </w:r>
          </w:p>
        </w:tc>
        <w:tc>
          <w:tcPr>
            <w:tcW w:w="4395" w:type="dxa"/>
            <w:vAlign w:val="center"/>
          </w:tcPr>
          <w:p w:rsidR="00475AA3" w:rsidRPr="004264CD" w:rsidRDefault="00475AA3" w:rsidP="00CC47C1">
            <w:pPr>
              <w:rPr>
                <w:rFonts w:asciiTheme="majorBidi" w:eastAsia="Times New Roman" w:hAnsiTheme="majorBidi" w:cstheme="majorBidi"/>
                <w:sz w:val="18"/>
                <w:szCs w:val="18"/>
                <w:highlight w:val="yellow"/>
                <w:lang w:eastAsia="en-GB"/>
              </w:rPr>
            </w:pPr>
            <w:r w:rsidRPr="004264CD">
              <w:rPr>
                <w:rFonts w:asciiTheme="majorBidi" w:eastAsia="Times New Roman" w:hAnsiTheme="majorBidi" w:cstheme="majorBidi"/>
                <w:sz w:val="18"/>
                <w:szCs w:val="18"/>
                <w:lang w:eastAsia="en-GB"/>
              </w:rPr>
              <w:t xml:space="preserve">Journal of Orthopaedic Surgery and Research </w:t>
            </w:r>
            <w:r w:rsidRPr="004264CD">
              <w:rPr>
                <w:rFonts w:asciiTheme="majorBidi" w:eastAsia="Times New Roman" w:hAnsiTheme="majorBidi" w:cstheme="majorBidi"/>
                <w:b/>
                <w:bCs/>
                <w:sz w:val="18"/>
                <w:szCs w:val="18"/>
                <w:lang w:eastAsia="en-GB"/>
              </w:rPr>
              <w:t>2014</w:t>
            </w:r>
            <w:r w:rsidRPr="004264CD">
              <w:rPr>
                <w:rFonts w:asciiTheme="majorBidi" w:eastAsia="Times New Roman" w:hAnsiTheme="majorBidi" w:cstheme="majorBidi"/>
                <w:sz w:val="18"/>
                <w:szCs w:val="18"/>
                <w:lang w:eastAsia="en-GB"/>
              </w:rPr>
              <w:t>:9(1):18</w:t>
            </w:r>
          </w:p>
        </w:tc>
        <w:tc>
          <w:tcPr>
            <w:tcW w:w="850" w:type="dxa"/>
            <w:vAlign w:val="center"/>
          </w:tcPr>
          <w:p w:rsidR="00475AA3" w:rsidRPr="004264CD" w:rsidRDefault="00475AA3" w:rsidP="00CC47C1">
            <w:pPr>
              <w:jc w:val="center"/>
              <w:rPr>
                <w:rFonts w:asciiTheme="majorBidi" w:hAnsiTheme="majorBidi" w:cstheme="majorBidi"/>
                <w:sz w:val="18"/>
                <w:szCs w:val="18"/>
              </w:rPr>
            </w:pPr>
            <w:r w:rsidRPr="004264CD">
              <w:rPr>
                <w:rFonts w:asciiTheme="majorBidi" w:hAnsiTheme="majorBidi" w:cstheme="majorBidi"/>
                <w:sz w:val="18"/>
                <w:szCs w:val="18"/>
              </w:rPr>
              <w:t>176</w:t>
            </w:r>
          </w:p>
        </w:tc>
      </w:tr>
    </w:tbl>
    <w:p w:rsidR="00475AA3" w:rsidRPr="004264CD" w:rsidRDefault="00475AA3" w:rsidP="00475AA3">
      <w:pPr>
        <w:tabs>
          <w:tab w:val="right" w:pos="9026"/>
        </w:tabs>
        <w:spacing w:line="240" w:lineRule="auto"/>
        <w:rPr>
          <w:rFonts w:asciiTheme="majorBidi" w:hAnsiTheme="majorBidi" w:cstheme="majorBidi"/>
          <w:sz w:val="18"/>
          <w:szCs w:val="18"/>
        </w:rPr>
      </w:pPr>
    </w:p>
    <w:p w:rsidR="00475AA3" w:rsidRPr="004264CD" w:rsidRDefault="00475AA3" w:rsidP="00475AA3">
      <w:pPr>
        <w:spacing w:line="240" w:lineRule="auto"/>
        <w:rPr>
          <w:rFonts w:asciiTheme="majorBidi" w:hAnsiTheme="majorBidi" w:cstheme="majorBidi"/>
          <w:sz w:val="18"/>
          <w:szCs w:val="18"/>
        </w:rPr>
      </w:pPr>
    </w:p>
    <w:p w:rsidR="004264CD" w:rsidRPr="004264CD" w:rsidRDefault="004264CD">
      <w:pPr>
        <w:rPr>
          <w:rFonts w:ascii="Cambria" w:hAnsi="Cambria" w:cs="Arial"/>
          <w:shd w:val="clear" w:color="auto" w:fill="F8F8F8"/>
        </w:rPr>
      </w:pPr>
      <w:r w:rsidRPr="004264CD">
        <w:rPr>
          <w:rFonts w:ascii="Cambria" w:hAnsi="Cambria" w:cs="Arial"/>
          <w:shd w:val="clear" w:color="auto" w:fill="F8F8F8"/>
        </w:rPr>
        <w:br w:type="page"/>
      </w:r>
    </w:p>
    <w:tbl>
      <w:tblPr>
        <w:tblStyle w:val="TableGrid"/>
        <w:tblpPr w:leftFromText="180" w:rightFromText="180" w:horzAnchor="margin" w:tblpXSpec="center" w:tblpY="-733"/>
        <w:tblW w:w="15730" w:type="dxa"/>
        <w:tblLayout w:type="fixed"/>
        <w:tblLook w:val="04A0" w:firstRow="1" w:lastRow="0" w:firstColumn="1" w:lastColumn="0" w:noHBand="0" w:noVBand="1"/>
      </w:tblPr>
      <w:tblGrid>
        <w:gridCol w:w="562"/>
        <w:gridCol w:w="2127"/>
        <w:gridCol w:w="4394"/>
        <w:gridCol w:w="2977"/>
        <w:gridCol w:w="1417"/>
        <w:gridCol w:w="1134"/>
        <w:gridCol w:w="1281"/>
        <w:gridCol w:w="1838"/>
      </w:tblGrid>
      <w:tr w:rsidR="002C04FF" w:rsidRPr="004264CD" w:rsidTr="00CC47C1">
        <w:trPr>
          <w:trHeight w:val="257"/>
        </w:trPr>
        <w:tc>
          <w:tcPr>
            <w:tcW w:w="15730" w:type="dxa"/>
            <w:gridSpan w:val="8"/>
            <w:vAlign w:val="center"/>
          </w:tcPr>
          <w:p w:rsidR="002C04FF" w:rsidRPr="004264CD" w:rsidRDefault="002C04FF" w:rsidP="002C04FF">
            <w:pPr>
              <w:tabs>
                <w:tab w:val="right" w:pos="9026"/>
              </w:tabs>
              <w:rPr>
                <w:rFonts w:asciiTheme="majorBidi" w:hAnsiTheme="majorBidi" w:cstheme="majorBidi"/>
              </w:rPr>
            </w:pPr>
          </w:p>
          <w:p w:rsidR="002C04FF" w:rsidRPr="004264CD" w:rsidRDefault="002C04FF" w:rsidP="002C04FF">
            <w:pPr>
              <w:tabs>
                <w:tab w:val="right" w:pos="9026"/>
              </w:tabs>
              <w:ind w:right="-108"/>
              <w:rPr>
                <w:rFonts w:asciiTheme="majorBidi" w:hAnsiTheme="majorBidi" w:cstheme="majorBidi"/>
                <w:sz w:val="18"/>
                <w:szCs w:val="18"/>
              </w:rPr>
            </w:pPr>
            <w:r w:rsidRPr="002C04FF">
              <w:rPr>
                <w:rFonts w:asciiTheme="majorBidi" w:hAnsiTheme="majorBidi" w:cstheme="majorBidi"/>
                <w:b/>
                <w:bCs/>
              </w:rPr>
              <w:t>Table S3.</w:t>
            </w:r>
            <w:r>
              <w:rPr>
                <w:rFonts w:asciiTheme="majorBidi" w:hAnsiTheme="majorBidi" w:cstheme="majorBidi"/>
              </w:rPr>
              <w:t xml:space="preserve"> </w:t>
            </w:r>
            <w:r w:rsidRPr="004264CD">
              <w:rPr>
                <w:rFonts w:asciiTheme="majorBidi" w:hAnsiTheme="majorBidi" w:cstheme="majorBidi"/>
                <w:sz w:val="18"/>
                <w:szCs w:val="18"/>
              </w:rPr>
              <w:t xml:space="preserve"> </w:t>
            </w:r>
            <w:r w:rsidRPr="003524EC">
              <w:rPr>
                <w:rFonts w:asciiTheme="majorBidi" w:hAnsiTheme="majorBidi" w:cstheme="majorBidi"/>
                <w:sz w:val="18"/>
                <w:szCs w:val="18"/>
                <w:highlight w:val="yellow"/>
              </w:rPr>
              <w:t>List of the 48 ‘only Iranian’ h-core publications (1965-2014), indexed in Web of Science Core Collection, ranked by their year of publication, and then by citation count within each year</w:t>
            </w:r>
          </w:p>
          <w:p w:rsidR="002C04FF" w:rsidRPr="004264CD" w:rsidRDefault="002C04FF" w:rsidP="002C04FF">
            <w:pPr>
              <w:tabs>
                <w:tab w:val="right" w:pos="9026"/>
              </w:tabs>
              <w:ind w:right="-108"/>
              <w:rPr>
                <w:rFonts w:asciiTheme="majorBidi" w:hAnsiTheme="majorBidi" w:cstheme="majorBidi"/>
                <w:sz w:val="18"/>
                <w:szCs w:val="18"/>
              </w:rPr>
            </w:pPr>
          </w:p>
          <w:p w:rsidR="002C04FF" w:rsidRPr="004264CD" w:rsidRDefault="002C04FF" w:rsidP="002C04FF">
            <w:pPr>
              <w:tabs>
                <w:tab w:val="right" w:pos="9026"/>
              </w:tabs>
              <w:ind w:right="-108"/>
              <w:rPr>
                <w:rFonts w:asciiTheme="majorBidi" w:hAnsiTheme="majorBidi" w:cstheme="majorBidi"/>
                <w:sz w:val="18"/>
                <w:szCs w:val="18"/>
              </w:rPr>
            </w:pPr>
            <w:r w:rsidRPr="004264CD">
              <w:rPr>
                <w:rFonts w:asciiTheme="majorBidi" w:hAnsiTheme="majorBidi" w:cstheme="majorBidi"/>
                <w:sz w:val="18"/>
                <w:szCs w:val="18"/>
              </w:rPr>
              <w:t>*Citations were calculated until 28 February, 2018. Citation counts depend on the year of publication and the research field. Higher or lower number of citations to the articles of this list does not represent any superiority/inferiority.</w:t>
            </w:r>
          </w:p>
          <w:p w:rsidR="002C04FF" w:rsidRDefault="002C04FF" w:rsidP="002C04FF">
            <w:pPr>
              <w:rPr>
                <w:rFonts w:asciiTheme="majorBidi" w:hAnsiTheme="majorBidi" w:cstheme="majorBidi"/>
                <w:b/>
                <w:bCs/>
                <w:sz w:val="20"/>
                <w:szCs w:val="20"/>
              </w:rPr>
            </w:pPr>
          </w:p>
        </w:tc>
      </w:tr>
      <w:tr w:rsidR="004264CD" w:rsidRPr="004264CD" w:rsidTr="002C04FF">
        <w:trPr>
          <w:trHeight w:val="257"/>
        </w:trPr>
        <w:tc>
          <w:tcPr>
            <w:tcW w:w="562" w:type="dxa"/>
            <w:vAlign w:val="center"/>
          </w:tcPr>
          <w:p w:rsidR="004264CD" w:rsidRPr="004264CD" w:rsidRDefault="004264CD" w:rsidP="002C04FF">
            <w:pPr>
              <w:jc w:val="center"/>
              <w:rPr>
                <w:rFonts w:asciiTheme="majorBidi" w:hAnsiTheme="majorBidi" w:cstheme="majorBidi"/>
                <w:b/>
                <w:bCs/>
                <w:sz w:val="20"/>
                <w:szCs w:val="20"/>
              </w:rPr>
            </w:pPr>
            <w:r w:rsidRPr="004264CD">
              <w:rPr>
                <w:rFonts w:asciiTheme="majorBidi" w:hAnsiTheme="majorBidi" w:cstheme="majorBidi"/>
                <w:b/>
                <w:bCs/>
                <w:sz w:val="20"/>
                <w:szCs w:val="20"/>
              </w:rPr>
              <w:t>No.</w:t>
            </w:r>
          </w:p>
        </w:tc>
        <w:tc>
          <w:tcPr>
            <w:tcW w:w="2127" w:type="dxa"/>
            <w:vAlign w:val="center"/>
          </w:tcPr>
          <w:p w:rsidR="004264CD" w:rsidRPr="004264CD" w:rsidRDefault="004264CD" w:rsidP="002C04FF">
            <w:pPr>
              <w:jc w:val="center"/>
              <w:rPr>
                <w:rFonts w:asciiTheme="majorBidi" w:hAnsiTheme="majorBidi" w:cstheme="majorBidi"/>
                <w:b/>
                <w:bCs/>
                <w:sz w:val="20"/>
                <w:szCs w:val="20"/>
              </w:rPr>
            </w:pPr>
            <w:r w:rsidRPr="004264CD">
              <w:rPr>
                <w:rFonts w:asciiTheme="majorBidi" w:hAnsiTheme="majorBidi" w:cstheme="majorBidi"/>
                <w:b/>
                <w:bCs/>
                <w:sz w:val="20"/>
                <w:szCs w:val="20"/>
              </w:rPr>
              <w:t>Authors</w:t>
            </w:r>
          </w:p>
        </w:tc>
        <w:tc>
          <w:tcPr>
            <w:tcW w:w="4394" w:type="dxa"/>
            <w:vAlign w:val="center"/>
          </w:tcPr>
          <w:p w:rsidR="004264CD" w:rsidRPr="004264CD" w:rsidRDefault="004264CD" w:rsidP="002C04FF">
            <w:pPr>
              <w:jc w:val="center"/>
              <w:rPr>
                <w:rFonts w:asciiTheme="majorBidi" w:hAnsiTheme="majorBidi" w:cstheme="majorBidi"/>
                <w:b/>
                <w:bCs/>
                <w:sz w:val="20"/>
                <w:szCs w:val="20"/>
              </w:rPr>
            </w:pPr>
            <w:r w:rsidRPr="004264CD">
              <w:rPr>
                <w:rFonts w:asciiTheme="majorBidi" w:hAnsiTheme="majorBidi" w:cstheme="majorBidi"/>
                <w:b/>
                <w:bCs/>
                <w:sz w:val="20"/>
                <w:szCs w:val="20"/>
              </w:rPr>
              <w:t>Title</w:t>
            </w:r>
          </w:p>
        </w:tc>
        <w:tc>
          <w:tcPr>
            <w:tcW w:w="2977" w:type="dxa"/>
            <w:vAlign w:val="center"/>
          </w:tcPr>
          <w:p w:rsidR="004264CD" w:rsidRPr="004264CD" w:rsidRDefault="002C04FF" w:rsidP="002C04FF">
            <w:pPr>
              <w:jc w:val="center"/>
              <w:rPr>
                <w:rFonts w:asciiTheme="majorBidi" w:hAnsiTheme="majorBidi" w:cstheme="majorBidi"/>
                <w:b/>
                <w:bCs/>
                <w:sz w:val="20"/>
                <w:szCs w:val="20"/>
              </w:rPr>
            </w:pPr>
            <w:r>
              <w:rPr>
                <w:rFonts w:asciiTheme="majorBidi" w:hAnsiTheme="majorBidi" w:cstheme="majorBidi"/>
                <w:b/>
                <w:bCs/>
                <w:sz w:val="20"/>
                <w:szCs w:val="20"/>
              </w:rPr>
              <w:t>Biobliographic</w:t>
            </w:r>
            <w:r w:rsidR="004264CD" w:rsidRPr="004264CD">
              <w:rPr>
                <w:rFonts w:asciiTheme="majorBidi" w:hAnsiTheme="majorBidi" w:cstheme="majorBidi"/>
                <w:b/>
                <w:bCs/>
                <w:sz w:val="20"/>
                <w:szCs w:val="20"/>
              </w:rPr>
              <w:t xml:space="preserve"> Information</w:t>
            </w:r>
          </w:p>
        </w:tc>
        <w:tc>
          <w:tcPr>
            <w:tcW w:w="1417" w:type="dxa"/>
            <w:vAlign w:val="center"/>
          </w:tcPr>
          <w:p w:rsidR="004264CD" w:rsidRPr="004264CD" w:rsidRDefault="004264CD" w:rsidP="002C04FF">
            <w:pPr>
              <w:jc w:val="center"/>
              <w:rPr>
                <w:rFonts w:asciiTheme="majorBidi" w:hAnsiTheme="majorBidi" w:cstheme="majorBidi"/>
                <w:b/>
                <w:bCs/>
                <w:sz w:val="20"/>
                <w:szCs w:val="20"/>
              </w:rPr>
            </w:pPr>
            <w:r w:rsidRPr="004264CD">
              <w:rPr>
                <w:rFonts w:asciiTheme="majorBidi" w:hAnsiTheme="majorBidi" w:cstheme="majorBidi"/>
                <w:b/>
                <w:bCs/>
                <w:sz w:val="20"/>
                <w:szCs w:val="20"/>
              </w:rPr>
              <w:t>%</w:t>
            </w:r>
            <w:r w:rsidR="002C04FF">
              <w:rPr>
                <w:rFonts w:asciiTheme="majorBidi" w:hAnsiTheme="majorBidi" w:cstheme="majorBidi"/>
                <w:b/>
                <w:bCs/>
                <w:sz w:val="20"/>
                <w:szCs w:val="20"/>
              </w:rPr>
              <w:t xml:space="preserve"> </w:t>
            </w:r>
            <w:r w:rsidRPr="004264CD">
              <w:rPr>
                <w:rFonts w:asciiTheme="majorBidi" w:hAnsiTheme="majorBidi" w:cstheme="majorBidi"/>
                <w:b/>
                <w:bCs/>
                <w:sz w:val="20"/>
                <w:szCs w:val="20"/>
              </w:rPr>
              <w:t xml:space="preserve">of </w:t>
            </w:r>
            <w:r w:rsidR="002C04FF">
              <w:rPr>
                <w:rFonts w:asciiTheme="majorBidi" w:hAnsiTheme="majorBidi" w:cstheme="majorBidi"/>
                <w:b/>
                <w:bCs/>
                <w:sz w:val="20"/>
                <w:szCs w:val="20"/>
              </w:rPr>
              <w:t>Citations O</w:t>
            </w:r>
            <w:r w:rsidRPr="004264CD">
              <w:rPr>
                <w:rFonts w:asciiTheme="majorBidi" w:hAnsiTheme="majorBidi" w:cstheme="majorBidi"/>
                <w:b/>
                <w:bCs/>
                <w:sz w:val="20"/>
                <w:szCs w:val="20"/>
              </w:rPr>
              <w:t>riginating in Iran</w:t>
            </w:r>
          </w:p>
        </w:tc>
        <w:tc>
          <w:tcPr>
            <w:tcW w:w="1134" w:type="dxa"/>
            <w:vAlign w:val="center"/>
          </w:tcPr>
          <w:p w:rsidR="004264CD" w:rsidRPr="004264CD" w:rsidRDefault="004264CD" w:rsidP="002C04FF">
            <w:pPr>
              <w:jc w:val="center"/>
              <w:rPr>
                <w:rFonts w:asciiTheme="majorBidi" w:hAnsiTheme="majorBidi" w:cstheme="majorBidi"/>
                <w:b/>
                <w:bCs/>
                <w:sz w:val="20"/>
                <w:szCs w:val="20"/>
              </w:rPr>
            </w:pPr>
            <w:r w:rsidRPr="004264CD">
              <w:rPr>
                <w:rFonts w:asciiTheme="majorBidi" w:hAnsiTheme="majorBidi" w:cstheme="majorBidi"/>
                <w:b/>
                <w:bCs/>
                <w:sz w:val="20"/>
                <w:szCs w:val="20"/>
              </w:rPr>
              <w:t>Citation Count</w:t>
            </w:r>
          </w:p>
        </w:tc>
        <w:tc>
          <w:tcPr>
            <w:tcW w:w="1281" w:type="dxa"/>
            <w:vAlign w:val="center"/>
          </w:tcPr>
          <w:p w:rsidR="004264CD" w:rsidRPr="004264CD" w:rsidRDefault="004264CD" w:rsidP="002C04FF">
            <w:pPr>
              <w:jc w:val="center"/>
              <w:rPr>
                <w:rFonts w:asciiTheme="majorBidi" w:hAnsiTheme="majorBidi" w:cstheme="majorBidi"/>
                <w:b/>
                <w:bCs/>
                <w:sz w:val="20"/>
                <w:szCs w:val="20"/>
              </w:rPr>
            </w:pPr>
            <w:r w:rsidRPr="004264CD">
              <w:rPr>
                <w:rFonts w:asciiTheme="majorBidi" w:hAnsiTheme="majorBidi" w:cstheme="majorBidi"/>
                <w:b/>
                <w:bCs/>
                <w:sz w:val="20"/>
                <w:szCs w:val="20"/>
              </w:rPr>
              <w:t>Research Type</w:t>
            </w:r>
          </w:p>
        </w:tc>
        <w:tc>
          <w:tcPr>
            <w:tcW w:w="1838" w:type="dxa"/>
            <w:vAlign w:val="center"/>
          </w:tcPr>
          <w:p w:rsidR="004264CD" w:rsidRPr="004264CD" w:rsidRDefault="002C04FF" w:rsidP="002C04FF">
            <w:pPr>
              <w:jc w:val="center"/>
              <w:rPr>
                <w:rFonts w:asciiTheme="majorBidi" w:hAnsiTheme="majorBidi" w:cstheme="majorBidi"/>
                <w:b/>
                <w:bCs/>
                <w:sz w:val="20"/>
                <w:szCs w:val="20"/>
              </w:rPr>
            </w:pPr>
            <w:r>
              <w:rPr>
                <w:rFonts w:asciiTheme="majorBidi" w:hAnsiTheme="majorBidi" w:cstheme="majorBidi"/>
                <w:b/>
                <w:bCs/>
                <w:sz w:val="20"/>
                <w:szCs w:val="20"/>
              </w:rPr>
              <w:t>IF in the Paper</w:t>
            </w:r>
            <w:r w:rsidR="004264CD" w:rsidRPr="004264CD">
              <w:rPr>
                <w:rFonts w:asciiTheme="majorBidi" w:hAnsiTheme="majorBidi" w:cstheme="majorBidi"/>
                <w:b/>
                <w:bCs/>
                <w:sz w:val="20"/>
                <w:szCs w:val="20"/>
              </w:rPr>
              <w:t>s</w:t>
            </w:r>
            <w:r>
              <w:rPr>
                <w:rFonts w:asciiTheme="majorBidi" w:hAnsiTheme="majorBidi" w:cstheme="majorBidi"/>
                <w:b/>
                <w:bCs/>
                <w:sz w:val="20"/>
                <w:szCs w:val="20"/>
              </w:rPr>
              <w:t>’</w:t>
            </w:r>
            <w:r w:rsidR="004264CD" w:rsidRPr="004264CD">
              <w:rPr>
                <w:rFonts w:asciiTheme="majorBidi" w:hAnsiTheme="majorBidi" w:cstheme="majorBidi"/>
                <w:b/>
                <w:bCs/>
                <w:sz w:val="20"/>
                <w:szCs w:val="20"/>
              </w:rPr>
              <w:t xml:space="preserve"> Publication Year</w:t>
            </w: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1</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Salehizadeh H, Shojaosadati SA</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Extracellular biopolymeric flocculants - Recent trends and biotechnological importance</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Biotechnology Advances </w:t>
            </w:r>
            <w:r w:rsidRPr="004264CD">
              <w:rPr>
                <w:rFonts w:asciiTheme="majorBidi" w:hAnsiTheme="majorBidi" w:cstheme="majorBidi"/>
                <w:b/>
                <w:bCs/>
                <w:sz w:val="18"/>
                <w:szCs w:val="18"/>
              </w:rPr>
              <w:t>2001</w:t>
            </w:r>
            <w:r w:rsidRPr="004264CD">
              <w:rPr>
                <w:rFonts w:asciiTheme="majorBidi" w:hAnsiTheme="majorBidi" w:cstheme="majorBidi"/>
                <w:sz w:val="18"/>
                <w:szCs w:val="18"/>
              </w:rPr>
              <w:t>; 19(5):371-385</w:t>
            </w:r>
          </w:p>
        </w:tc>
        <w:tc>
          <w:tcPr>
            <w:tcW w:w="1417" w:type="dxa"/>
            <w:vAlign w:val="center"/>
          </w:tcPr>
          <w:p w:rsidR="004264CD" w:rsidRPr="004264CD" w:rsidRDefault="004264CD" w:rsidP="00CC47C1">
            <w:pPr>
              <w:tabs>
                <w:tab w:val="left" w:pos="476"/>
                <w:tab w:val="center" w:pos="603"/>
              </w:tabs>
              <w:jc w:val="center"/>
              <w:rPr>
                <w:rFonts w:asciiTheme="majorBidi" w:hAnsiTheme="majorBidi" w:cstheme="majorBidi"/>
                <w:sz w:val="18"/>
                <w:szCs w:val="18"/>
              </w:rPr>
            </w:pPr>
            <w:r w:rsidRPr="004264CD">
              <w:rPr>
                <w:rFonts w:asciiTheme="majorBidi" w:hAnsiTheme="majorBidi" w:cstheme="majorBidi"/>
                <w:sz w:val="18"/>
                <w:szCs w:val="18"/>
              </w:rPr>
              <w:t>1.1%</w:t>
            </w:r>
          </w:p>
        </w:tc>
        <w:tc>
          <w:tcPr>
            <w:tcW w:w="1134" w:type="dxa"/>
            <w:vAlign w:val="center"/>
          </w:tcPr>
          <w:p w:rsidR="004264CD" w:rsidRPr="004264CD" w:rsidRDefault="004264CD" w:rsidP="00CC47C1">
            <w:pPr>
              <w:tabs>
                <w:tab w:val="left" w:pos="476"/>
                <w:tab w:val="center" w:pos="603"/>
              </w:tabs>
              <w:jc w:val="center"/>
              <w:rPr>
                <w:rFonts w:asciiTheme="majorBidi" w:hAnsiTheme="majorBidi" w:cstheme="majorBidi"/>
                <w:sz w:val="18"/>
                <w:szCs w:val="18"/>
              </w:rPr>
            </w:pPr>
            <w:r w:rsidRPr="004264CD">
              <w:rPr>
                <w:rFonts w:asciiTheme="majorBidi" w:hAnsiTheme="majorBidi" w:cstheme="majorBidi"/>
                <w:sz w:val="18"/>
                <w:szCs w:val="18"/>
              </w:rPr>
              <w:t>264</w:t>
            </w:r>
          </w:p>
        </w:tc>
        <w:tc>
          <w:tcPr>
            <w:tcW w:w="1281" w:type="dxa"/>
            <w:vAlign w:val="center"/>
          </w:tcPr>
          <w:p w:rsidR="004264CD" w:rsidRPr="004264CD" w:rsidRDefault="004264CD" w:rsidP="00CC47C1">
            <w:pPr>
              <w:tabs>
                <w:tab w:val="left" w:pos="476"/>
                <w:tab w:val="center" w:pos="603"/>
              </w:tabs>
              <w:jc w:val="center"/>
              <w:rPr>
                <w:rFonts w:asciiTheme="majorBidi" w:hAnsiTheme="majorBidi" w:cstheme="majorBidi"/>
                <w:sz w:val="18"/>
                <w:szCs w:val="18"/>
              </w:rPr>
            </w:pPr>
            <w:r w:rsidRPr="004264CD">
              <w:rPr>
                <w:rFonts w:asciiTheme="majorBidi" w:hAnsiTheme="majorBidi" w:cstheme="majorBidi"/>
                <w:sz w:val="18"/>
                <w:szCs w:val="18"/>
              </w:rPr>
              <w:t>Review - Basic</w:t>
            </w:r>
          </w:p>
        </w:tc>
        <w:tc>
          <w:tcPr>
            <w:tcW w:w="1838" w:type="dxa"/>
            <w:vAlign w:val="center"/>
          </w:tcPr>
          <w:p w:rsidR="004264CD" w:rsidRPr="004264CD" w:rsidRDefault="004264CD" w:rsidP="00CC47C1">
            <w:pPr>
              <w:tabs>
                <w:tab w:val="left" w:pos="476"/>
                <w:tab w:val="center" w:pos="603"/>
              </w:tabs>
              <w:jc w:val="center"/>
              <w:rPr>
                <w:rFonts w:asciiTheme="majorBidi" w:hAnsiTheme="majorBidi" w:cstheme="majorBidi"/>
                <w:sz w:val="18"/>
                <w:szCs w:val="18"/>
              </w:rPr>
            </w:pPr>
            <w:r w:rsidRPr="004264CD">
              <w:rPr>
                <w:rFonts w:asciiTheme="majorBidi" w:hAnsiTheme="majorBidi" w:cstheme="majorBidi"/>
                <w:sz w:val="18"/>
                <w:szCs w:val="18"/>
              </w:rPr>
              <w:t>1.568</w:t>
            </w: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2</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Azizi F, Rahmani M, Emami H,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Cardiovascular risk factors in an Iranian urban population: Tehran Lipid and Glucose Study (Phase 1)</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Sozial- und Präventivmedizin </w:t>
            </w:r>
            <w:r w:rsidRPr="004264CD">
              <w:rPr>
                <w:rFonts w:asciiTheme="majorBidi" w:hAnsiTheme="majorBidi" w:cstheme="majorBidi"/>
                <w:b/>
                <w:bCs/>
                <w:sz w:val="18"/>
                <w:szCs w:val="18"/>
              </w:rPr>
              <w:t>2002</w:t>
            </w:r>
            <w:r w:rsidRPr="004264CD">
              <w:rPr>
                <w:rFonts w:asciiTheme="majorBidi" w:hAnsiTheme="majorBidi" w:cstheme="majorBidi"/>
                <w:sz w:val="18"/>
                <w:szCs w:val="18"/>
              </w:rPr>
              <w:t>;47(6):408-426</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95.6%</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269</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Public Health</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0.639</w:t>
            </w: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3</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Azizi F, Salehi P, Etemadi A,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Prevalence of metabolic syndrome in an urban population: Tehran Lipid and Glucose Study</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Diabetes Research and Clinical Practice </w:t>
            </w:r>
            <w:r w:rsidRPr="004264CD">
              <w:rPr>
                <w:rFonts w:asciiTheme="majorBidi" w:hAnsiTheme="majorBidi" w:cstheme="majorBidi"/>
                <w:b/>
                <w:bCs/>
                <w:sz w:val="18"/>
                <w:szCs w:val="18"/>
              </w:rPr>
              <w:t>2003</w:t>
            </w:r>
            <w:r w:rsidRPr="004264CD">
              <w:rPr>
                <w:rFonts w:asciiTheme="majorBidi" w:hAnsiTheme="majorBidi" w:cstheme="majorBidi"/>
                <w:sz w:val="18"/>
                <w:szCs w:val="18"/>
              </w:rPr>
              <w:t>;61(1):29-37</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69.3%</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275</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Public health</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1.68</w:t>
            </w: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4</w:t>
            </w:r>
          </w:p>
        </w:tc>
        <w:tc>
          <w:tcPr>
            <w:tcW w:w="2127" w:type="dxa"/>
            <w:vAlign w:val="center"/>
          </w:tcPr>
          <w:p w:rsidR="004264CD" w:rsidRPr="004264CD" w:rsidRDefault="004264CD" w:rsidP="00CC47C1">
            <w:pPr>
              <w:rPr>
                <w:rFonts w:asciiTheme="majorBidi" w:hAnsiTheme="majorBidi" w:cstheme="majorBidi"/>
                <w:sz w:val="18"/>
                <w:szCs w:val="18"/>
                <w:shd w:val="clear" w:color="auto" w:fill="F8F8F8"/>
              </w:rPr>
            </w:pPr>
            <w:r w:rsidRPr="004264CD">
              <w:rPr>
                <w:rFonts w:asciiTheme="majorBidi" w:eastAsia="Times New Roman" w:hAnsiTheme="majorBidi" w:cstheme="majorBidi"/>
                <w:sz w:val="18"/>
                <w:szCs w:val="18"/>
                <w:lang w:eastAsia="en-GB"/>
              </w:rPr>
              <w:t>A Vessal M, Hemmati M, Vasei M</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Antidiabetic effects of quercetin in streptozocin-induced diabetic rats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Comparative Biochemistry and Physiology - Part C: Toxicology &amp; Pharmacology </w:t>
            </w:r>
            <w:r w:rsidRPr="004264CD">
              <w:rPr>
                <w:rFonts w:asciiTheme="majorBidi" w:hAnsiTheme="majorBidi" w:cstheme="majorBidi"/>
                <w:b/>
                <w:bCs/>
                <w:sz w:val="18"/>
                <w:szCs w:val="18"/>
              </w:rPr>
              <w:t>2003</w:t>
            </w:r>
            <w:r w:rsidRPr="004264CD">
              <w:rPr>
                <w:rFonts w:asciiTheme="majorBidi" w:hAnsiTheme="majorBidi" w:cstheme="majorBidi"/>
                <w:sz w:val="18"/>
                <w:szCs w:val="18"/>
              </w:rPr>
              <w:t>;135(3):357-364</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8.5%</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238</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1.469</w:t>
            </w:r>
          </w:p>
          <w:p w:rsidR="004264CD" w:rsidRPr="004264CD" w:rsidRDefault="004264CD" w:rsidP="00CC47C1">
            <w:pPr>
              <w:jc w:val="center"/>
              <w:rPr>
                <w:rFonts w:asciiTheme="majorBidi" w:hAnsiTheme="majorBidi" w:cstheme="majorBidi"/>
                <w:sz w:val="18"/>
                <w:szCs w:val="18"/>
              </w:rPr>
            </w:pP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5</w:t>
            </w:r>
          </w:p>
        </w:tc>
        <w:tc>
          <w:tcPr>
            <w:tcW w:w="2127" w:type="dxa"/>
            <w:vAlign w:val="center"/>
          </w:tcPr>
          <w:p w:rsidR="004264CD" w:rsidRPr="004264CD" w:rsidRDefault="004264CD" w:rsidP="00CC47C1">
            <w:pPr>
              <w:rPr>
                <w:rFonts w:asciiTheme="majorBidi" w:hAnsiTheme="majorBidi" w:cstheme="majorBidi"/>
                <w:sz w:val="18"/>
                <w:szCs w:val="18"/>
                <w:shd w:val="clear" w:color="auto" w:fill="F8F8F8"/>
              </w:rPr>
            </w:pPr>
            <w:r w:rsidRPr="004264CD">
              <w:rPr>
                <w:rFonts w:asciiTheme="majorBidi" w:eastAsia="Times New Roman" w:hAnsiTheme="majorBidi" w:cstheme="majorBidi"/>
                <w:sz w:val="18"/>
                <w:szCs w:val="18"/>
                <w:lang w:eastAsia="en-GB"/>
              </w:rPr>
              <w:t>Akhgari M, Abdollahi M, Kebryaeezadeh A,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Biochemical evidence for free radical-induced lipid peroxidation as a mechanism for subchronic toxicity of malathion in blood and liver of rats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Human &amp; Experimental Toxicology </w:t>
            </w:r>
            <w:r w:rsidRPr="004264CD">
              <w:rPr>
                <w:rFonts w:asciiTheme="majorBidi" w:hAnsiTheme="majorBidi" w:cstheme="majorBidi"/>
                <w:b/>
                <w:bCs/>
                <w:sz w:val="18"/>
                <w:szCs w:val="18"/>
              </w:rPr>
              <w:t>2003</w:t>
            </w:r>
            <w:r w:rsidRPr="004264CD">
              <w:rPr>
                <w:rFonts w:asciiTheme="majorBidi" w:hAnsiTheme="majorBidi" w:cstheme="majorBidi"/>
                <w:sz w:val="18"/>
                <w:szCs w:val="18"/>
              </w:rPr>
              <w:t>;22(4): 205-211</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18.4%</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182</w:t>
            </w:r>
          </w:p>
        </w:tc>
        <w:tc>
          <w:tcPr>
            <w:tcW w:w="1281" w:type="dxa"/>
          </w:tcPr>
          <w:p w:rsidR="004264CD" w:rsidRPr="004264CD" w:rsidRDefault="004264CD" w:rsidP="00CC47C1">
            <w:pPr>
              <w:jc w:val="center"/>
              <w:rPr>
                <w:rFonts w:asciiTheme="majorBidi" w:hAnsiTheme="majorBidi" w:cstheme="majorBidi"/>
                <w:sz w:val="18"/>
                <w:szCs w:val="18"/>
              </w:rPr>
            </w:pPr>
          </w:p>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0.99</w:t>
            </w: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6</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Sarraf-Zadegan N, Sadri G, Afzali HM, et al.</w:t>
            </w:r>
          </w:p>
        </w:tc>
        <w:tc>
          <w:tcPr>
            <w:tcW w:w="4394"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Isfahan Healthy Heart Programme: a comprehensive integrated community-based programme for cardiovascular disease prevention and control. Design, methods and initial experience</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Acta Cardiologica </w:t>
            </w:r>
            <w:r w:rsidRPr="004264CD">
              <w:rPr>
                <w:rFonts w:asciiTheme="majorBidi" w:hAnsiTheme="majorBidi" w:cstheme="majorBidi"/>
                <w:b/>
                <w:bCs/>
                <w:sz w:val="18"/>
                <w:szCs w:val="18"/>
              </w:rPr>
              <w:t>2003</w:t>
            </w:r>
            <w:r w:rsidRPr="004264CD">
              <w:rPr>
                <w:rFonts w:asciiTheme="majorBidi" w:hAnsiTheme="majorBidi" w:cstheme="majorBidi"/>
                <w:sz w:val="18"/>
                <w:szCs w:val="18"/>
              </w:rPr>
              <w:t>;95(4):309-320</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89.4%</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157</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Public health</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0.38</w:t>
            </w: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7</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Abdollahi M, Ranjbar A, Shadnia S,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Pesticides and oxidative stress: a review</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Medical Science Monitor </w:t>
            </w:r>
            <w:r w:rsidRPr="004264CD">
              <w:rPr>
                <w:rFonts w:asciiTheme="majorBidi" w:hAnsiTheme="majorBidi" w:cstheme="majorBidi"/>
                <w:b/>
                <w:bCs/>
                <w:sz w:val="18"/>
                <w:szCs w:val="18"/>
              </w:rPr>
              <w:t>2004</w:t>
            </w:r>
            <w:r w:rsidRPr="004264CD">
              <w:rPr>
                <w:rFonts w:asciiTheme="majorBidi" w:hAnsiTheme="majorBidi" w:cstheme="majorBidi"/>
                <w:sz w:val="18"/>
                <w:szCs w:val="18"/>
              </w:rPr>
              <w:t>;10(6):</w:t>
            </w:r>
            <w:r w:rsidRPr="004264CD">
              <w:rPr>
                <w:rFonts w:asciiTheme="majorBidi" w:hAnsiTheme="majorBidi" w:cstheme="majorBidi"/>
                <w:sz w:val="18"/>
                <w:szCs w:val="18"/>
                <w:shd w:val="clear" w:color="auto" w:fill="F8F8F8"/>
              </w:rPr>
              <w:t xml:space="preserve"> RA141-RA147</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21.5%</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312</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Public Health</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1.595</w:t>
            </w: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8</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Almasirad A, Tabatabai SA, Faizi M,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Synthesis and anticonvulsant activity of new 2-substituted-5-[2-(2-fluorophenoxy)phenyl]-1,3,4-oxadiazoles and 1,2,4-triazoles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Bioorganic &amp; Medicinal Chemistry Letters </w:t>
            </w:r>
            <w:r w:rsidRPr="004264CD">
              <w:rPr>
                <w:rFonts w:asciiTheme="majorBidi" w:hAnsiTheme="majorBidi" w:cstheme="majorBidi"/>
                <w:b/>
                <w:bCs/>
                <w:sz w:val="18"/>
                <w:szCs w:val="18"/>
              </w:rPr>
              <w:t>2004</w:t>
            </w:r>
            <w:r w:rsidRPr="004264CD">
              <w:rPr>
                <w:rFonts w:asciiTheme="majorBidi" w:hAnsiTheme="majorBidi" w:cstheme="majorBidi"/>
                <w:sz w:val="18"/>
                <w:szCs w:val="18"/>
              </w:rPr>
              <w:t>;14(4):6057-6059</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7.9%</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224</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2.333</w:t>
            </w: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9</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Noorbala AA, Yazdi SAB, Yasamy MT,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Mental health survey of the adult population in Iran</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British Journal of Psychiatry </w:t>
            </w:r>
            <w:r w:rsidRPr="004264CD">
              <w:rPr>
                <w:rFonts w:asciiTheme="majorBidi" w:hAnsiTheme="majorBidi" w:cstheme="majorBidi"/>
                <w:b/>
                <w:bCs/>
                <w:sz w:val="18"/>
                <w:szCs w:val="18"/>
              </w:rPr>
              <w:t>2004</w:t>
            </w:r>
            <w:r w:rsidRPr="004264CD">
              <w:rPr>
                <w:rFonts w:asciiTheme="majorBidi" w:hAnsiTheme="majorBidi" w:cstheme="majorBidi"/>
                <w:sz w:val="18"/>
                <w:szCs w:val="18"/>
              </w:rPr>
              <w:t>; 184: 70-73</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82.6</w:t>
            </w:r>
            <w:r w:rsidR="002C04FF">
              <w:rPr>
                <w:rFonts w:asciiTheme="majorBidi" w:hAnsiTheme="majorBidi" w:cstheme="majorBidi"/>
                <w:sz w:val="18"/>
                <w:szCs w:val="18"/>
              </w:rPr>
              <w:t>%</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165</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Public health</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4.175</w:t>
            </w:r>
          </w:p>
          <w:p w:rsidR="004264CD" w:rsidRPr="004264CD" w:rsidRDefault="004264CD" w:rsidP="00CC47C1">
            <w:pPr>
              <w:jc w:val="center"/>
              <w:rPr>
                <w:rFonts w:asciiTheme="majorBidi" w:hAnsiTheme="majorBidi" w:cstheme="majorBidi"/>
                <w:sz w:val="18"/>
                <w:szCs w:val="18"/>
              </w:rPr>
            </w:pPr>
          </w:p>
          <w:p w:rsidR="004264CD" w:rsidRPr="004264CD" w:rsidRDefault="004264CD" w:rsidP="00CC47C1">
            <w:pPr>
              <w:jc w:val="center"/>
              <w:rPr>
                <w:rFonts w:asciiTheme="majorBidi" w:hAnsiTheme="majorBidi" w:cstheme="majorBidi"/>
                <w:sz w:val="18"/>
                <w:szCs w:val="18"/>
              </w:rPr>
            </w:pP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10</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Rahimi R, Nikfar S, Larijani B,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A review on the role of antioxidants in the management of diabetes and its complications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Biomedicine &amp; Pharmacotherapy </w:t>
            </w:r>
            <w:r w:rsidRPr="004264CD">
              <w:rPr>
                <w:rFonts w:asciiTheme="majorBidi" w:hAnsiTheme="majorBidi" w:cstheme="majorBidi"/>
                <w:b/>
                <w:bCs/>
                <w:sz w:val="18"/>
                <w:szCs w:val="18"/>
              </w:rPr>
              <w:t>2005</w:t>
            </w:r>
            <w:r w:rsidRPr="004264CD">
              <w:rPr>
                <w:rFonts w:asciiTheme="majorBidi" w:hAnsiTheme="majorBidi" w:cstheme="majorBidi"/>
                <w:sz w:val="18"/>
                <w:szCs w:val="18"/>
              </w:rPr>
              <w:t>;59(7):365-373</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31.3%</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411</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Clinical</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2.069</w:t>
            </w: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11</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Azadbakht L, Mirmiran P, Esmailzadeh A,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Beneficial effects of a Dietary Approaches to Stop Hypertension eating plan on features of the metabolic syndrome</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Diabetes Care </w:t>
            </w:r>
            <w:r w:rsidRPr="004264CD">
              <w:rPr>
                <w:rFonts w:asciiTheme="majorBidi" w:hAnsiTheme="majorBidi" w:cstheme="majorBidi"/>
                <w:b/>
                <w:bCs/>
                <w:sz w:val="18"/>
                <w:szCs w:val="18"/>
              </w:rPr>
              <w:t>2005</w:t>
            </w:r>
            <w:r w:rsidRPr="004264CD">
              <w:rPr>
                <w:rFonts w:asciiTheme="majorBidi" w:hAnsiTheme="majorBidi" w:cstheme="majorBidi"/>
                <w:sz w:val="18"/>
                <w:szCs w:val="18"/>
              </w:rPr>
              <w:t>;28(12):2823-2831</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18.9%</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251</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Clinical</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7.844</w:t>
            </w: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12</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Azadbakht L, Mirmiran P, Esmailzadeh A,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Dairy consumption is inversely associated with the prevalence of the metabolic syndrome in Tehranian adults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American Journal of Clinical Nutrition </w:t>
            </w:r>
            <w:r w:rsidRPr="004264CD">
              <w:rPr>
                <w:rFonts w:asciiTheme="majorBidi" w:hAnsiTheme="majorBidi" w:cstheme="majorBidi"/>
                <w:b/>
                <w:bCs/>
                <w:sz w:val="18"/>
                <w:szCs w:val="18"/>
              </w:rPr>
              <w:t>2005</w:t>
            </w:r>
            <w:r w:rsidRPr="004264CD">
              <w:rPr>
                <w:rFonts w:asciiTheme="majorBidi" w:hAnsiTheme="majorBidi" w:cstheme="majorBidi"/>
                <w:sz w:val="18"/>
                <w:szCs w:val="18"/>
              </w:rPr>
              <w:t>;82(3):523-530</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26.4%</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222</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Public health</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5.853</w:t>
            </w: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lastRenderedPageBreak/>
              <w:t>13</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Safavi A, Maleki N, Moradlou O,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Simultaneous determination of dopamine, ascorbic acid, and uric acid using carbon ionic liquid electrode</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Analytical Biochemistry </w:t>
            </w:r>
            <w:r w:rsidRPr="004264CD">
              <w:rPr>
                <w:rFonts w:asciiTheme="majorBidi" w:hAnsiTheme="majorBidi" w:cstheme="majorBidi"/>
                <w:b/>
                <w:bCs/>
                <w:sz w:val="18"/>
                <w:szCs w:val="18"/>
              </w:rPr>
              <w:t>2006</w:t>
            </w:r>
            <w:r w:rsidRPr="004264CD">
              <w:rPr>
                <w:rFonts w:asciiTheme="majorBidi" w:hAnsiTheme="majorBidi" w:cstheme="majorBidi"/>
                <w:sz w:val="18"/>
                <w:szCs w:val="18"/>
              </w:rPr>
              <w:t>;359(2):224-229</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33%</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301</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2.948</w:t>
            </w: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14</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Bonab MM, Alimoghaddam K, Talebian F,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Aging of mesenchymal stem cell in vitro</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BMC Cell Biology </w:t>
            </w:r>
            <w:r w:rsidRPr="004264CD">
              <w:rPr>
                <w:rFonts w:asciiTheme="majorBidi" w:hAnsiTheme="majorBidi" w:cstheme="majorBidi"/>
                <w:b/>
                <w:bCs/>
                <w:sz w:val="18"/>
                <w:szCs w:val="18"/>
              </w:rPr>
              <w:t>2006</w:t>
            </w:r>
            <w:r w:rsidRPr="004264CD">
              <w:rPr>
                <w:rFonts w:asciiTheme="majorBidi" w:hAnsiTheme="majorBidi" w:cstheme="majorBidi"/>
                <w:sz w:val="18"/>
                <w:szCs w:val="18"/>
              </w:rPr>
              <w:t>;7(14)</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3.4%</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360</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2.742</w:t>
            </w:r>
          </w:p>
        </w:tc>
      </w:tr>
      <w:tr w:rsidR="004264CD" w:rsidRPr="004264CD" w:rsidTr="00CC47C1">
        <w:trPr>
          <w:trHeight w:val="410"/>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15</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Pourmorad F, Hosseinimehr SJ, Shahabimajd N</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Antioxidant activity, phenol and flavonoid contents of some selected Iranian medicinal plants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African Journal of Biotechnology </w:t>
            </w:r>
            <w:r w:rsidRPr="004264CD">
              <w:rPr>
                <w:rFonts w:asciiTheme="majorBidi" w:hAnsiTheme="majorBidi" w:cstheme="majorBidi"/>
                <w:b/>
                <w:bCs/>
                <w:sz w:val="18"/>
                <w:szCs w:val="18"/>
              </w:rPr>
              <w:t>2006</w:t>
            </w:r>
            <w:r w:rsidRPr="004264CD">
              <w:rPr>
                <w:rFonts w:asciiTheme="majorBidi" w:hAnsiTheme="majorBidi" w:cstheme="majorBidi"/>
                <w:sz w:val="18"/>
                <w:szCs w:val="18"/>
              </w:rPr>
              <w:t>;5(11):1142-1145</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13%</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266</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0.45</w:t>
            </w:r>
          </w:p>
        </w:tc>
      </w:tr>
      <w:tr w:rsidR="004264CD" w:rsidRPr="004264CD" w:rsidTr="00CC47C1">
        <w:trPr>
          <w:trHeight w:val="410"/>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16</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Eidi A, Eidi M, Esmaeili E</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Antidiabetic effect of garlic (Allium sativum L.) in normal and streptozotocin-induced diabetic rats</w:t>
            </w:r>
          </w:p>
        </w:tc>
        <w:tc>
          <w:tcPr>
            <w:tcW w:w="297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 xml:space="preserve">Phytomedicine </w:t>
            </w:r>
            <w:r w:rsidRPr="004264CD">
              <w:rPr>
                <w:rFonts w:asciiTheme="majorBidi" w:eastAsia="Times New Roman" w:hAnsiTheme="majorBidi" w:cstheme="majorBidi"/>
                <w:b/>
                <w:bCs/>
                <w:sz w:val="18"/>
                <w:szCs w:val="18"/>
                <w:lang w:eastAsia="en-GB"/>
              </w:rPr>
              <w:t>2006</w:t>
            </w:r>
            <w:r w:rsidRPr="004264CD">
              <w:rPr>
                <w:rFonts w:asciiTheme="majorBidi" w:eastAsia="Times New Roman" w:hAnsiTheme="majorBidi" w:cstheme="majorBidi"/>
                <w:sz w:val="18"/>
                <w:szCs w:val="18"/>
                <w:lang w:eastAsia="en-GB"/>
              </w:rPr>
              <w:t>;13(9-10):624-629</w:t>
            </w:r>
          </w:p>
        </w:tc>
        <w:tc>
          <w:tcPr>
            <w:tcW w:w="1417" w:type="dxa"/>
            <w:vAlign w:val="center"/>
          </w:tcPr>
          <w:p w:rsidR="004264CD" w:rsidRPr="004264CD" w:rsidRDefault="004264CD"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13%</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eastAsia="Times New Roman" w:hAnsiTheme="majorBidi" w:cstheme="majorBidi"/>
                <w:sz w:val="18"/>
                <w:szCs w:val="18"/>
                <w:lang w:eastAsia="en-GB"/>
              </w:rPr>
              <w:t>163</w:t>
            </w:r>
          </w:p>
        </w:tc>
        <w:tc>
          <w:tcPr>
            <w:tcW w:w="1281" w:type="dxa"/>
            <w:vAlign w:val="center"/>
          </w:tcPr>
          <w:p w:rsidR="004264CD" w:rsidRPr="004264CD" w:rsidRDefault="004264CD" w:rsidP="00CC47C1">
            <w:pPr>
              <w:jc w:val="center"/>
              <w:rPr>
                <w:rFonts w:asciiTheme="majorBidi" w:eastAsia="Times New Roman" w:hAnsiTheme="majorBidi" w:cstheme="majorBidi"/>
                <w:sz w:val="18"/>
                <w:szCs w:val="18"/>
                <w:lang w:eastAsia="en-GB"/>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1.403</w:t>
            </w:r>
          </w:p>
        </w:tc>
      </w:tr>
      <w:tr w:rsidR="004264CD" w:rsidRPr="004264CD" w:rsidTr="00CC47C1">
        <w:trPr>
          <w:trHeight w:val="410"/>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17</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shd w:val="clear" w:color="auto" w:fill="F8F8F8"/>
              </w:rPr>
              <w:t>Hamidi M, Azadi A, Rafiei P</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Pharmacokinetic consequences of pegylation</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Drug Delivery </w:t>
            </w:r>
            <w:r w:rsidRPr="004264CD">
              <w:rPr>
                <w:rFonts w:asciiTheme="majorBidi" w:hAnsiTheme="majorBidi" w:cstheme="majorBidi"/>
                <w:b/>
                <w:bCs/>
                <w:sz w:val="18"/>
                <w:szCs w:val="18"/>
              </w:rPr>
              <w:t>2006</w:t>
            </w:r>
            <w:r w:rsidRPr="004264CD">
              <w:rPr>
                <w:rFonts w:asciiTheme="majorBidi" w:hAnsiTheme="majorBidi" w:cstheme="majorBidi"/>
                <w:sz w:val="18"/>
                <w:szCs w:val="18"/>
              </w:rPr>
              <w:t>;13(6):399-409</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3.1%</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161</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1.424</w:t>
            </w:r>
          </w:p>
        </w:tc>
      </w:tr>
      <w:tr w:rsidR="004264CD" w:rsidRPr="004264CD" w:rsidTr="00CC47C1">
        <w:trPr>
          <w:trHeight w:val="410"/>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18</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Shahverdi AR, Fakhimi A, Shahverdi HR, et al.</w:t>
            </w:r>
          </w:p>
          <w:p w:rsidR="004264CD" w:rsidRPr="004264CD" w:rsidRDefault="004264CD" w:rsidP="00CC47C1">
            <w:pPr>
              <w:rPr>
                <w:rFonts w:asciiTheme="majorBidi" w:hAnsiTheme="majorBidi" w:cstheme="majorBidi"/>
                <w:sz w:val="18"/>
                <w:szCs w:val="18"/>
              </w:rPr>
            </w:pP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Synthesis and effect of silver nanoparticles on the antibacterial activity of different antibiotics against Staphylococcus aureus and Escherichia coli</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Nanomedicine: Nanotechnology, Biology and Medicine </w:t>
            </w:r>
            <w:r w:rsidRPr="004264CD">
              <w:rPr>
                <w:rFonts w:asciiTheme="majorBidi" w:hAnsiTheme="majorBidi" w:cstheme="majorBidi"/>
                <w:b/>
                <w:bCs/>
                <w:sz w:val="18"/>
                <w:szCs w:val="18"/>
              </w:rPr>
              <w:t>2007</w:t>
            </w:r>
            <w:r w:rsidRPr="004264CD">
              <w:rPr>
                <w:rFonts w:asciiTheme="majorBidi" w:hAnsiTheme="majorBidi" w:cstheme="majorBidi"/>
                <w:sz w:val="18"/>
                <w:szCs w:val="18"/>
              </w:rPr>
              <w:t>;3(2):168-171</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8.9%</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532</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5.44</w:t>
            </w:r>
          </w:p>
        </w:tc>
      </w:tr>
      <w:tr w:rsidR="004264CD" w:rsidRPr="004264CD" w:rsidTr="00CC47C1">
        <w:trPr>
          <w:trHeight w:val="445"/>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19</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Moradali MF, Mostafavi, H, Ghods S,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Immunomodulating and anticancer agents in the realm of macromycetes fungi (macrofungi)</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International Immunopharmacology </w:t>
            </w:r>
            <w:r w:rsidRPr="004264CD">
              <w:rPr>
                <w:rFonts w:asciiTheme="majorBidi" w:hAnsiTheme="majorBidi" w:cstheme="majorBidi"/>
                <w:b/>
                <w:bCs/>
                <w:sz w:val="18"/>
                <w:szCs w:val="18"/>
              </w:rPr>
              <w:t>2007</w:t>
            </w:r>
            <w:r w:rsidRPr="004264CD">
              <w:rPr>
                <w:rFonts w:asciiTheme="majorBidi" w:hAnsiTheme="majorBidi" w:cstheme="majorBidi"/>
                <w:sz w:val="18"/>
                <w:szCs w:val="18"/>
              </w:rPr>
              <w:t>;7(6):701-724</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0.8%</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240</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2.066</w:t>
            </w:r>
          </w:p>
        </w:tc>
      </w:tr>
      <w:tr w:rsidR="004264CD" w:rsidRPr="004264CD" w:rsidTr="00CC47C1">
        <w:trPr>
          <w:trHeight w:val="34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20</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Kelishadi R</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Childhood overweight, obesity, and the metabolic syndrome in developing countries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Epidemiologic Reviews </w:t>
            </w:r>
            <w:r w:rsidRPr="004264CD">
              <w:rPr>
                <w:rFonts w:asciiTheme="majorBidi" w:hAnsiTheme="majorBidi" w:cstheme="majorBidi"/>
                <w:b/>
                <w:bCs/>
                <w:sz w:val="18"/>
                <w:szCs w:val="18"/>
              </w:rPr>
              <w:t>2007</w:t>
            </w:r>
            <w:r w:rsidRPr="004264CD">
              <w:rPr>
                <w:rFonts w:asciiTheme="majorBidi" w:hAnsiTheme="majorBidi" w:cstheme="majorBidi"/>
                <w:sz w:val="18"/>
                <w:szCs w:val="18"/>
              </w:rPr>
              <w:t>;29:62-76</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41.3%</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308</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Public health</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5.429</w:t>
            </w:r>
          </w:p>
        </w:tc>
      </w:tr>
      <w:tr w:rsidR="004264CD" w:rsidRPr="004264CD" w:rsidTr="00CC47C1">
        <w:trPr>
          <w:trHeight w:val="351"/>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21</w:t>
            </w:r>
          </w:p>
        </w:tc>
        <w:tc>
          <w:tcPr>
            <w:tcW w:w="2127" w:type="dxa"/>
            <w:vAlign w:val="center"/>
          </w:tcPr>
          <w:p w:rsidR="004264CD" w:rsidRPr="004264CD" w:rsidRDefault="004264CD" w:rsidP="00CC47C1">
            <w:pPr>
              <w:rPr>
                <w:rFonts w:asciiTheme="majorBidi" w:hAnsiTheme="majorBidi" w:cstheme="majorBidi"/>
                <w:sz w:val="18"/>
                <w:szCs w:val="18"/>
                <w:shd w:val="clear" w:color="auto" w:fill="F8F8F8"/>
              </w:rPr>
            </w:pPr>
            <w:r w:rsidRPr="004264CD">
              <w:rPr>
                <w:rFonts w:asciiTheme="majorBidi" w:hAnsiTheme="majorBidi" w:cstheme="majorBidi"/>
                <w:sz w:val="18"/>
                <w:szCs w:val="18"/>
              </w:rPr>
              <w:t>Shahverdi AR, Minaeian S, Shahverdi HR,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Rapid synthesis of silver nanoparticles using culture supernatants of </w:t>
            </w:r>
            <w:r w:rsidRPr="004264CD">
              <w:rPr>
                <w:rFonts w:asciiTheme="majorBidi" w:hAnsiTheme="majorBidi" w:cstheme="majorBidi"/>
                <w:i/>
                <w:iCs/>
                <w:sz w:val="18"/>
                <w:szCs w:val="18"/>
              </w:rPr>
              <w:t>Enterobacteria</w:t>
            </w:r>
            <w:r w:rsidRPr="004264CD">
              <w:rPr>
                <w:rFonts w:asciiTheme="majorBidi" w:hAnsiTheme="majorBidi" w:cstheme="majorBidi"/>
                <w:sz w:val="18"/>
                <w:szCs w:val="18"/>
              </w:rPr>
              <w:t>: A novel biological approach</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Process Biochemistry </w:t>
            </w:r>
            <w:r w:rsidRPr="004264CD">
              <w:rPr>
                <w:rFonts w:asciiTheme="majorBidi" w:hAnsiTheme="majorBidi" w:cstheme="majorBidi"/>
                <w:b/>
                <w:bCs/>
                <w:sz w:val="18"/>
                <w:szCs w:val="18"/>
              </w:rPr>
              <w:t>2007</w:t>
            </w:r>
            <w:r w:rsidRPr="004264CD">
              <w:rPr>
                <w:rFonts w:asciiTheme="majorBidi" w:hAnsiTheme="majorBidi" w:cstheme="majorBidi"/>
                <w:sz w:val="18"/>
                <w:szCs w:val="18"/>
              </w:rPr>
              <w:t>;42(5):919-923</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8.5%</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279</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2.336</w:t>
            </w:r>
          </w:p>
          <w:p w:rsidR="004264CD" w:rsidRPr="004264CD" w:rsidRDefault="004264CD" w:rsidP="00CC47C1">
            <w:pPr>
              <w:jc w:val="center"/>
              <w:rPr>
                <w:rFonts w:asciiTheme="majorBidi" w:hAnsiTheme="majorBidi" w:cstheme="majorBidi"/>
                <w:sz w:val="18"/>
                <w:szCs w:val="18"/>
              </w:rPr>
            </w:pPr>
          </w:p>
        </w:tc>
      </w:tr>
      <w:tr w:rsidR="004264CD" w:rsidRPr="004264CD" w:rsidTr="00CC47C1">
        <w:trPr>
          <w:trHeight w:val="301"/>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22</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Atlasi Y, Mowla SJ, Ziaee SA, Bahrami AR</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OCT-4, an embryonic stem cell marker, is highly expressed in bladder cancer</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International Journal of Cancer </w:t>
            </w:r>
            <w:r w:rsidRPr="004264CD">
              <w:rPr>
                <w:rFonts w:asciiTheme="majorBidi" w:hAnsiTheme="majorBidi" w:cstheme="majorBidi"/>
                <w:b/>
                <w:bCs/>
                <w:sz w:val="18"/>
                <w:szCs w:val="18"/>
              </w:rPr>
              <w:t>2007</w:t>
            </w:r>
            <w:r w:rsidRPr="004264CD">
              <w:rPr>
                <w:rFonts w:asciiTheme="majorBidi" w:hAnsiTheme="majorBidi" w:cstheme="majorBidi"/>
                <w:sz w:val="18"/>
                <w:szCs w:val="18"/>
              </w:rPr>
              <w:t>;120(7):1598-1602</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11.6%</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173</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4.555</w:t>
            </w:r>
          </w:p>
        </w:tc>
      </w:tr>
      <w:tr w:rsidR="004264CD" w:rsidRPr="004264CD" w:rsidTr="00CC47C1">
        <w:trPr>
          <w:trHeight w:val="301"/>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23</w:t>
            </w:r>
          </w:p>
        </w:tc>
        <w:tc>
          <w:tcPr>
            <w:tcW w:w="2127" w:type="dxa"/>
            <w:vAlign w:val="center"/>
          </w:tcPr>
          <w:p w:rsidR="004264CD" w:rsidRPr="004264CD" w:rsidRDefault="004264CD" w:rsidP="00CC47C1">
            <w:pPr>
              <w:rPr>
                <w:rFonts w:asciiTheme="majorBidi" w:hAnsiTheme="majorBidi" w:cstheme="majorBidi"/>
                <w:sz w:val="18"/>
                <w:szCs w:val="18"/>
                <w:shd w:val="clear" w:color="auto" w:fill="F8F8F8"/>
              </w:rPr>
            </w:pPr>
            <w:r w:rsidRPr="004264CD">
              <w:rPr>
                <w:rFonts w:asciiTheme="majorBidi" w:eastAsia="Times New Roman" w:hAnsiTheme="majorBidi" w:cstheme="majorBidi"/>
                <w:sz w:val="18"/>
                <w:szCs w:val="18"/>
                <w:lang w:eastAsia="en-GB"/>
              </w:rPr>
              <w:t>Hosseinimehr SJ</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Foundation review: Trends in the development of radioprotective agents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Drug Discovery Today </w:t>
            </w:r>
            <w:r w:rsidRPr="004264CD">
              <w:rPr>
                <w:rFonts w:asciiTheme="majorBidi" w:hAnsiTheme="majorBidi" w:cstheme="majorBidi"/>
                <w:b/>
                <w:bCs/>
                <w:sz w:val="18"/>
                <w:szCs w:val="18"/>
              </w:rPr>
              <w:t>2007</w:t>
            </w:r>
            <w:r w:rsidRPr="004264CD">
              <w:rPr>
                <w:rFonts w:asciiTheme="majorBidi" w:hAnsiTheme="majorBidi" w:cstheme="majorBidi"/>
                <w:sz w:val="18"/>
                <w:szCs w:val="18"/>
              </w:rPr>
              <w:t>;12(19-20):794-805</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13.9%</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226</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6.671</w:t>
            </w:r>
          </w:p>
        </w:tc>
      </w:tr>
      <w:tr w:rsidR="004264CD" w:rsidRPr="004264CD" w:rsidTr="00CC47C1">
        <w:trPr>
          <w:trHeight w:val="301"/>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24</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Akhondzadeh S, Tabatabaee M, Amini H,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Celecoxib as adjunctive therapy in schizophrenia: A double-blind, randomized and placebo-controlled trial</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Schizophrenia Research </w:t>
            </w:r>
            <w:r w:rsidRPr="004264CD">
              <w:rPr>
                <w:rFonts w:asciiTheme="majorBidi" w:hAnsiTheme="majorBidi" w:cstheme="majorBidi"/>
                <w:b/>
                <w:bCs/>
                <w:sz w:val="18"/>
                <w:szCs w:val="18"/>
              </w:rPr>
              <w:t>2007</w:t>
            </w:r>
            <w:r w:rsidRPr="004264CD">
              <w:rPr>
                <w:rFonts w:asciiTheme="majorBidi" w:hAnsiTheme="majorBidi" w:cstheme="majorBidi"/>
                <w:sz w:val="18"/>
                <w:szCs w:val="18"/>
              </w:rPr>
              <w:t>;90(1-3):179-185</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14.2%</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169</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Clinical</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4.24</w:t>
            </w:r>
          </w:p>
          <w:p w:rsidR="004264CD" w:rsidRPr="004264CD" w:rsidRDefault="004264CD" w:rsidP="00CC47C1">
            <w:pPr>
              <w:jc w:val="center"/>
              <w:rPr>
                <w:rFonts w:asciiTheme="majorBidi" w:hAnsiTheme="majorBidi" w:cstheme="majorBidi"/>
                <w:sz w:val="18"/>
                <w:szCs w:val="18"/>
              </w:rPr>
            </w:pPr>
          </w:p>
        </w:tc>
      </w:tr>
      <w:tr w:rsidR="004264CD" w:rsidRPr="004264CD" w:rsidTr="00CC47C1">
        <w:trPr>
          <w:trHeight w:val="301"/>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25</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Style w:val="Hyperlink"/>
                <w:rFonts w:asciiTheme="majorBidi" w:hAnsiTheme="majorBidi" w:cstheme="majorBidi"/>
                <w:color w:val="auto"/>
                <w:sz w:val="18"/>
                <w:szCs w:val="18"/>
                <w:u w:val="none"/>
              </w:rPr>
              <w:t>Mohamadnejad M, Alimoghaddam, K, Mohyeddin-Bonab M,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Phase 1 trial of autologous bone marrow mesenchymal stem cell transplantation in patients with decompensated liver cirrhosis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Archives</w:t>
            </w:r>
            <w:r w:rsidRPr="004264CD">
              <w:rPr>
                <w:rStyle w:val="Hyperlink"/>
                <w:rFonts w:asciiTheme="majorBidi" w:hAnsiTheme="majorBidi" w:cstheme="majorBidi"/>
                <w:color w:val="auto"/>
                <w:sz w:val="18"/>
                <w:szCs w:val="18"/>
                <w:u w:val="none"/>
              </w:rPr>
              <w:t xml:space="preserve"> of Iranian Medicine </w:t>
            </w:r>
            <w:r w:rsidRPr="004264CD">
              <w:rPr>
                <w:rStyle w:val="Hyperlink"/>
                <w:rFonts w:asciiTheme="majorBidi" w:hAnsiTheme="majorBidi" w:cstheme="majorBidi"/>
                <w:b/>
                <w:bCs/>
                <w:color w:val="auto"/>
                <w:sz w:val="18"/>
                <w:szCs w:val="18"/>
                <w:u w:val="none"/>
              </w:rPr>
              <w:t>2007</w:t>
            </w:r>
            <w:r w:rsidRPr="004264CD">
              <w:rPr>
                <w:rStyle w:val="Hyperlink"/>
                <w:rFonts w:asciiTheme="majorBidi" w:hAnsiTheme="majorBidi" w:cstheme="majorBidi"/>
                <w:color w:val="auto"/>
                <w:sz w:val="18"/>
                <w:szCs w:val="18"/>
                <w:u w:val="none"/>
              </w:rPr>
              <w:t>;10(4):459-466</w:t>
            </w:r>
          </w:p>
        </w:tc>
        <w:tc>
          <w:tcPr>
            <w:tcW w:w="1417" w:type="dxa"/>
            <w:vAlign w:val="center"/>
          </w:tcPr>
          <w:p w:rsidR="004264CD" w:rsidRPr="004264CD" w:rsidRDefault="004264CD" w:rsidP="00CC47C1">
            <w:pPr>
              <w:jc w:val="center"/>
              <w:rPr>
                <w:rStyle w:val="Hyperlink"/>
                <w:rFonts w:asciiTheme="majorBidi" w:hAnsiTheme="majorBidi" w:cstheme="majorBidi"/>
                <w:color w:val="auto"/>
                <w:sz w:val="18"/>
                <w:szCs w:val="18"/>
                <w:u w:val="none"/>
              </w:rPr>
            </w:pPr>
            <w:r w:rsidRPr="004264CD">
              <w:rPr>
                <w:rStyle w:val="Hyperlink"/>
                <w:rFonts w:asciiTheme="majorBidi" w:hAnsiTheme="majorBidi" w:cstheme="majorBidi"/>
                <w:color w:val="auto"/>
                <w:sz w:val="18"/>
                <w:szCs w:val="18"/>
                <w:u w:val="none"/>
              </w:rPr>
              <w:t>12.6%</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165</w:t>
            </w:r>
          </w:p>
        </w:tc>
        <w:tc>
          <w:tcPr>
            <w:tcW w:w="1281" w:type="dxa"/>
            <w:vAlign w:val="center"/>
          </w:tcPr>
          <w:p w:rsidR="004264CD" w:rsidRPr="004264CD" w:rsidRDefault="004264CD" w:rsidP="00CC47C1">
            <w:pPr>
              <w:jc w:val="center"/>
              <w:rPr>
                <w:rStyle w:val="Hyperlink"/>
                <w:rFonts w:asciiTheme="majorBidi" w:hAnsiTheme="majorBidi" w:cstheme="majorBidi"/>
                <w:color w:val="auto"/>
                <w:sz w:val="18"/>
                <w:szCs w:val="18"/>
                <w:u w:val="none"/>
              </w:rPr>
            </w:pPr>
            <w:r w:rsidRPr="004264CD">
              <w:rPr>
                <w:rFonts w:asciiTheme="majorBidi" w:hAnsiTheme="majorBidi" w:cstheme="majorBidi"/>
                <w:sz w:val="18"/>
                <w:szCs w:val="18"/>
              </w:rPr>
              <w:t>Clinical</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JIF started since 2009 with 0.874</w:t>
            </w:r>
          </w:p>
        </w:tc>
      </w:tr>
      <w:tr w:rsidR="004264CD" w:rsidRPr="004264CD" w:rsidTr="00CC47C1">
        <w:trPr>
          <w:trHeight w:val="35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26</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Hamidi M, Azadi A, Rafiei P</w:t>
            </w:r>
          </w:p>
          <w:p w:rsidR="004264CD" w:rsidRPr="004264CD" w:rsidRDefault="004264CD" w:rsidP="00CC47C1">
            <w:pPr>
              <w:rPr>
                <w:rFonts w:asciiTheme="majorBidi" w:hAnsiTheme="majorBidi" w:cstheme="majorBidi"/>
                <w:sz w:val="18"/>
                <w:szCs w:val="18"/>
              </w:rPr>
            </w:pP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Hydrogel nanoparticles in drug delivery</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Advanced Drug Delivery Reviews </w:t>
            </w:r>
            <w:r w:rsidRPr="004264CD">
              <w:rPr>
                <w:rFonts w:asciiTheme="majorBidi" w:hAnsiTheme="majorBidi" w:cstheme="majorBidi"/>
                <w:b/>
                <w:bCs/>
                <w:sz w:val="18"/>
                <w:szCs w:val="18"/>
              </w:rPr>
              <w:t>2008</w:t>
            </w:r>
            <w:r w:rsidRPr="004264CD">
              <w:rPr>
                <w:rFonts w:asciiTheme="majorBidi" w:hAnsiTheme="majorBidi" w:cstheme="majorBidi"/>
                <w:sz w:val="18"/>
                <w:szCs w:val="18"/>
              </w:rPr>
              <w:t>;60(15):1638-1649</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9.1%</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778</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Basic</w:t>
            </w:r>
          </w:p>
          <w:p w:rsidR="004264CD" w:rsidRPr="004264CD" w:rsidRDefault="004264CD" w:rsidP="00CC47C1">
            <w:pPr>
              <w:jc w:val="center"/>
              <w:rPr>
                <w:rFonts w:asciiTheme="majorBidi" w:hAnsiTheme="majorBidi" w:cstheme="majorBidi"/>
                <w:sz w:val="18"/>
                <w:szCs w:val="18"/>
              </w:rPr>
            </w:pP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8.287</w:t>
            </w:r>
          </w:p>
        </w:tc>
      </w:tr>
      <w:tr w:rsidR="004264CD" w:rsidRPr="004264CD" w:rsidTr="00CC47C1">
        <w:trPr>
          <w:trHeight w:val="35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27</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Asl MN, Hosseinzadeh H</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Review of pharmacological effects of Glycyrrhiza sp and its bioactive compounds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Phytotherapy Research </w:t>
            </w:r>
            <w:r w:rsidRPr="004264CD">
              <w:rPr>
                <w:rFonts w:asciiTheme="majorBidi" w:hAnsiTheme="majorBidi" w:cstheme="majorBidi"/>
                <w:b/>
                <w:bCs/>
                <w:sz w:val="18"/>
                <w:szCs w:val="18"/>
              </w:rPr>
              <w:t>2008</w:t>
            </w:r>
            <w:r w:rsidRPr="004264CD">
              <w:rPr>
                <w:rFonts w:asciiTheme="majorBidi" w:hAnsiTheme="majorBidi" w:cstheme="majorBidi"/>
                <w:sz w:val="18"/>
                <w:szCs w:val="18"/>
              </w:rPr>
              <w:t>;22(6):709-724</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5.4%</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433</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1.772</w:t>
            </w:r>
          </w:p>
        </w:tc>
      </w:tr>
      <w:tr w:rsidR="004264CD" w:rsidRPr="004264CD" w:rsidTr="00CC47C1">
        <w:trPr>
          <w:trHeight w:val="361"/>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28</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Montazeri A</w:t>
            </w:r>
          </w:p>
          <w:p w:rsidR="004264CD" w:rsidRPr="004264CD" w:rsidRDefault="004264CD" w:rsidP="00CC47C1">
            <w:pPr>
              <w:rPr>
                <w:rFonts w:asciiTheme="majorBidi" w:hAnsiTheme="majorBidi" w:cstheme="majorBidi"/>
                <w:sz w:val="18"/>
                <w:szCs w:val="18"/>
              </w:rPr>
            </w:pP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Health-related quality of life in breast cancer patients: A bibliographic review of the literature from 1974 to 2007</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Journal of Experimental and Clinical Cancer Research</w:t>
            </w:r>
            <w:r w:rsidRPr="004264CD">
              <w:rPr>
                <w:rFonts w:asciiTheme="majorBidi" w:hAnsiTheme="majorBidi" w:cstheme="majorBidi"/>
                <w:b/>
                <w:bCs/>
                <w:sz w:val="18"/>
                <w:szCs w:val="18"/>
              </w:rPr>
              <w:t xml:space="preserve"> 2008</w:t>
            </w:r>
            <w:r w:rsidRPr="004264CD">
              <w:rPr>
                <w:rFonts w:asciiTheme="majorBidi" w:hAnsiTheme="majorBidi" w:cstheme="majorBidi"/>
                <w:sz w:val="18"/>
                <w:szCs w:val="18"/>
              </w:rPr>
              <w:t>;27(1):32</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3.9%</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274</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Public health</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1.184</w:t>
            </w:r>
          </w:p>
        </w:tc>
      </w:tr>
      <w:tr w:rsidR="004264CD" w:rsidRPr="004264CD" w:rsidTr="00CC47C1">
        <w:trPr>
          <w:trHeight w:val="352"/>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lastRenderedPageBreak/>
              <w:t>29</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Jouyban A</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Review of the cosolvency models for predicting solubility of drugs in water-cosolvent mixtures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Pharmacy and Pharmaceutical Sciences </w:t>
            </w:r>
            <w:r w:rsidRPr="004264CD">
              <w:rPr>
                <w:rFonts w:asciiTheme="majorBidi" w:hAnsiTheme="majorBidi" w:cstheme="majorBidi"/>
                <w:b/>
                <w:bCs/>
                <w:sz w:val="18"/>
                <w:szCs w:val="18"/>
              </w:rPr>
              <w:t>2008</w:t>
            </w:r>
            <w:r w:rsidRPr="004264CD">
              <w:rPr>
                <w:rFonts w:asciiTheme="majorBidi" w:hAnsiTheme="majorBidi" w:cstheme="majorBidi"/>
                <w:sz w:val="18"/>
                <w:szCs w:val="18"/>
              </w:rPr>
              <w:t>;11(1):</w:t>
            </w:r>
            <w:r w:rsidRPr="004264CD">
              <w:rPr>
                <w:rStyle w:val="Hyperlink"/>
                <w:rFonts w:asciiTheme="majorBidi" w:hAnsiTheme="majorBidi" w:cstheme="majorBidi"/>
                <w:color w:val="auto"/>
                <w:sz w:val="18"/>
                <w:szCs w:val="18"/>
                <w:u w:val="none"/>
              </w:rPr>
              <w:t>32-57</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44.7%</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239</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1.887</w:t>
            </w:r>
          </w:p>
        </w:tc>
      </w:tr>
      <w:tr w:rsidR="004264CD" w:rsidRPr="004264CD" w:rsidTr="00CC47C1">
        <w:trPr>
          <w:trHeight w:val="352"/>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30</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Imanshahidi M, Hosseinzadeh H</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Pharmacological and therapeutic effects of Berberis vulgaris and its active constituent, berberine</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Phytotherapy Research </w:t>
            </w:r>
            <w:r w:rsidRPr="004264CD">
              <w:rPr>
                <w:rFonts w:asciiTheme="majorBidi" w:hAnsiTheme="majorBidi" w:cstheme="majorBidi"/>
                <w:b/>
                <w:bCs/>
                <w:sz w:val="18"/>
                <w:szCs w:val="18"/>
              </w:rPr>
              <w:t>2008</w:t>
            </w:r>
            <w:r w:rsidRPr="004264CD">
              <w:rPr>
                <w:rFonts w:asciiTheme="majorBidi" w:hAnsiTheme="majorBidi" w:cstheme="majorBidi"/>
                <w:sz w:val="18"/>
                <w:szCs w:val="18"/>
              </w:rPr>
              <w:t>;22(8):999-1012</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14.8%</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225</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1.772</w:t>
            </w:r>
          </w:p>
        </w:tc>
      </w:tr>
      <w:tr w:rsidR="004264CD" w:rsidRPr="004264CD" w:rsidTr="00CC47C1">
        <w:trPr>
          <w:trHeight w:val="352"/>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31</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Gill P, Ghaemi A</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Nucleic acid isothermal amplification technologies - A review</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Style w:val="Hyperlink"/>
                <w:rFonts w:asciiTheme="majorBidi" w:hAnsiTheme="majorBidi" w:cstheme="majorBidi"/>
                <w:color w:val="auto"/>
                <w:sz w:val="18"/>
                <w:szCs w:val="18"/>
                <w:u w:val="none"/>
              </w:rPr>
              <w:t xml:space="preserve">Nucleosides Nucleotides &amp; Nucleic Acids </w:t>
            </w:r>
            <w:r w:rsidRPr="004264CD">
              <w:rPr>
                <w:rStyle w:val="Hyperlink"/>
                <w:rFonts w:asciiTheme="majorBidi" w:hAnsiTheme="majorBidi" w:cstheme="majorBidi"/>
                <w:b/>
                <w:bCs/>
                <w:color w:val="auto"/>
                <w:sz w:val="18"/>
                <w:szCs w:val="18"/>
                <w:u w:val="none"/>
              </w:rPr>
              <w:t>2008</w:t>
            </w:r>
            <w:r w:rsidRPr="004264CD">
              <w:rPr>
                <w:rStyle w:val="Hyperlink"/>
                <w:rFonts w:asciiTheme="majorBidi" w:hAnsiTheme="majorBidi" w:cstheme="majorBidi"/>
                <w:color w:val="auto"/>
                <w:sz w:val="18"/>
                <w:szCs w:val="18"/>
                <w:u w:val="none"/>
              </w:rPr>
              <w:t>; 27(3):224-243</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3.6%</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195</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0.571</w:t>
            </w:r>
          </w:p>
          <w:p w:rsidR="004264CD" w:rsidRPr="004264CD" w:rsidRDefault="004264CD" w:rsidP="00CC47C1">
            <w:pPr>
              <w:jc w:val="center"/>
              <w:rPr>
                <w:rFonts w:asciiTheme="majorBidi" w:hAnsiTheme="majorBidi" w:cstheme="majorBidi"/>
                <w:sz w:val="18"/>
                <w:szCs w:val="18"/>
              </w:rPr>
            </w:pPr>
          </w:p>
          <w:p w:rsidR="004264CD" w:rsidRPr="004264CD" w:rsidRDefault="004264CD" w:rsidP="00CC47C1">
            <w:pPr>
              <w:jc w:val="center"/>
              <w:rPr>
                <w:rFonts w:asciiTheme="majorBidi" w:hAnsiTheme="majorBidi" w:cstheme="majorBidi"/>
                <w:sz w:val="18"/>
                <w:szCs w:val="18"/>
              </w:rPr>
            </w:pPr>
          </w:p>
        </w:tc>
      </w:tr>
      <w:tr w:rsidR="004264CD" w:rsidRPr="004264CD" w:rsidTr="00CC47C1">
        <w:trPr>
          <w:trHeight w:val="352"/>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32</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Beitollahi H, Mazloum-Ardakani M, Ganjipour B,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Novel 2,2 '-[1,2-ethanediylbis(nitriloethylidyne)]-bis-hydroquinone double-wall carbon nanotube paste electrode for simultaneous determination of epinephrine, uric acid and folic acid</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Biosensors &amp; Bioelectronics </w:t>
            </w:r>
            <w:r w:rsidRPr="004264CD">
              <w:rPr>
                <w:rFonts w:asciiTheme="majorBidi" w:hAnsiTheme="majorBidi" w:cstheme="majorBidi"/>
                <w:b/>
                <w:bCs/>
                <w:sz w:val="18"/>
                <w:szCs w:val="18"/>
              </w:rPr>
              <w:t>2008</w:t>
            </w:r>
            <w:r w:rsidRPr="004264CD">
              <w:rPr>
                <w:rFonts w:asciiTheme="majorBidi" w:hAnsiTheme="majorBidi" w:cstheme="majorBidi"/>
                <w:sz w:val="18"/>
                <w:szCs w:val="18"/>
              </w:rPr>
              <w:t>;24(3):362-368</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65.6%</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168</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5.149</w:t>
            </w:r>
          </w:p>
        </w:tc>
      </w:tr>
      <w:tr w:rsidR="004264CD" w:rsidRPr="004264CD" w:rsidTr="00CC47C1">
        <w:trPr>
          <w:trHeight w:val="49"/>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33</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Soleimani M, Nadri S</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A protocol for isolation and culture of mesenchymal stem cells from mouse bone marrow</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Nature Protocols </w:t>
            </w:r>
            <w:r w:rsidRPr="004264CD">
              <w:rPr>
                <w:rFonts w:asciiTheme="majorBidi" w:hAnsiTheme="majorBidi" w:cstheme="majorBidi"/>
                <w:b/>
                <w:bCs/>
                <w:sz w:val="18"/>
                <w:szCs w:val="18"/>
              </w:rPr>
              <w:t>2009</w:t>
            </w:r>
            <w:r w:rsidRPr="004264CD">
              <w:rPr>
                <w:rFonts w:asciiTheme="majorBidi" w:hAnsiTheme="majorBidi" w:cstheme="majorBidi"/>
                <w:sz w:val="18"/>
                <w:szCs w:val="18"/>
              </w:rPr>
              <w:t>;4(1):102-106</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6.4%</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317</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6.335</w:t>
            </w:r>
          </w:p>
        </w:tc>
      </w:tr>
      <w:tr w:rsidR="004264CD" w:rsidRPr="004264CD" w:rsidTr="00CC47C1">
        <w:trPr>
          <w:trHeight w:val="35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34</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Mousavi SM, Gouya MM, Ramazani R,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Cancer incidence and mortality in Iran</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Annals of Oncology </w:t>
            </w:r>
            <w:r w:rsidRPr="004264CD">
              <w:rPr>
                <w:rFonts w:asciiTheme="majorBidi" w:hAnsiTheme="majorBidi" w:cstheme="majorBidi"/>
                <w:b/>
                <w:bCs/>
                <w:sz w:val="18"/>
                <w:szCs w:val="18"/>
              </w:rPr>
              <w:t>2009</w:t>
            </w:r>
            <w:r w:rsidRPr="004264CD">
              <w:rPr>
                <w:rFonts w:asciiTheme="majorBidi" w:hAnsiTheme="majorBidi" w:cstheme="majorBidi"/>
                <w:sz w:val="18"/>
                <w:szCs w:val="18"/>
              </w:rPr>
              <w:t>;20(3):556-563</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93.7%</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223</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Public health</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5.647</w:t>
            </w:r>
          </w:p>
          <w:p w:rsidR="004264CD" w:rsidRPr="004264CD" w:rsidRDefault="004264CD" w:rsidP="00CC47C1">
            <w:pPr>
              <w:jc w:val="center"/>
              <w:rPr>
                <w:rFonts w:asciiTheme="majorBidi" w:hAnsiTheme="majorBidi" w:cstheme="majorBidi"/>
                <w:sz w:val="18"/>
                <w:szCs w:val="18"/>
              </w:rPr>
            </w:pPr>
          </w:p>
        </w:tc>
      </w:tr>
      <w:tr w:rsidR="004264CD" w:rsidRPr="004264CD" w:rsidTr="00CC47C1">
        <w:trPr>
          <w:trHeight w:val="35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35</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Safavi A, Maleki N, Farjami E</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Fabrication of a glucose sensor based on a novel nanocomposite electrode</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Biosensors &amp; Bioelectronics </w:t>
            </w:r>
            <w:r w:rsidRPr="004264CD">
              <w:rPr>
                <w:rFonts w:asciiTheme="majorBidi" w:hAnsiTheme="majorBidi" w:cstheme="majorBidi"/>
                <w:b/>
                <w:bCs/>
                <w:sz w:val="18"/>
                <w:szCs w:val="18"/>
              </w:rPr>
              <w:t>2009</w:t>
            </w:r>
            <w:r w:rsidRPr="004264CD">
              <w:rPr>
                <w:rFonts w:asciiTheme="majorBidi" w:hAnsiTheme="majorBidi" w:cstheme="majorBidi"/>
                <w:sz w:val="18"/>
                <w:szCs w:val="18"/>
              </w:rPr>
              <w:t>;24(6):1655-1660</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14.3%</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218</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5.429</w:t>
            </w:r>
          </w:p>
        </w:tc>
      </w:tr>
      <w:tr w:rsidR="004264CD" w:rsidRPr="004264CD" w:rsidTr="00CC47C1">
        <w:trPr>
          <w:trHeight w:val="35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36</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Azizi F, Ghanbarian A, Momenan AA, et al and the Tehran Lipid and Glucose Study Group</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Prevention of non-communicable disease in a population in nutrition transition: Tehran Lipid and Glucose Study phase II</w:t>
            </w:r>
          </w:p>
        </w:tc>
        <w:tc>
          <w:tcPr>
            <w:tcW w:w="2977" w:type="dxa"/>
            <w:vAlign w:val="center"/>
          </w:tcPr>
          <w:p w:rsidR="004264CD" w:rsidRPr="004264CD" w:rsidRDefault="004264CD" w:rsidP="00CC47C1">
            <w:pPr>
              <w:rPr>
                <w:rFonts w:asciiTheme="majorBidi" w:hAnsiTheme="majorBidi" w:cstheme="majorBidi"/>
                <w:sz w:val="18"/>
                <w:szCs w:val="18"/>
              </w:rPr>
            </w:pPr>
          </w:p>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Trials </w:t>
            </w:r>
            <w:r w:rsidRPr="004264CD">
              <w:rPr>
                <w:rFonts w:asciiTheme="majorBidi" w:hAnsiTheme="majorBidi" w:cstheme="majorBidi"/>
                <w:b/>
                <w:bCs/>
                <w:sz w:val="18"/>
                <w:szCs w:val="18"/>
              </w:rPr>
              <w:t>2009</w:t>
            </w:r>
            <w:r w:rsidRPr="004264CD">
              <w:rPr>
                <w:rFonts w:asciiTheme="majorBidi" w:hAnsiTheme="majorBidi" w:cstheme="majorBidi"/>
                <w:sz w:val="18"/>
                <w:szCs w:val="18"/>
              </w:rPr>
              <w:t>;10(1):5</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97.7%</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277</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Public health</w:t>
            </w:r>
          </w:p>
        </w:tc>
        <w:tc>
          <w:tcPr>
            <w:tcW w:w="1838" w:type="dxa"/>
            <w:vAlign w:val="center"/>
          </w:tcPr>
          <w:p w:rsidR="004264CD" w:rsidRPr="004264CD" w:rsidRDefault="004264CD" w:rsidP="00CC47C1">
            <w:pPr>
              <w:jc w:val="center"/>
              <w:rPr>
                <w:rFonts w:asciiTheme="majorBidi" w:hAnsiTheme="majorBidi" w:cstheme="majorBidi"/>
                <w:sz w:val="18"/>
                <w:szCs w:val="18"/>
              </w:rPr>
            </w:pPr>
          </w:p>
          <w:p w:rsidR="004264CD" w:rsidRPr="004264CD" w:rsidRDefault="004264CD" w:rsidP="00CC47C1">
            <w:pPr>
              <w:jc w:val="center"/>
              <w:rPr>
                <w:rFonts w:asciiTheme="majorBidi" w:hAnsiTheme="majorBidi" w:cstheme="majorBidi"/>
                <w:sz w:val="18"/>
                <w:szCs w:val="18"/>
              </w:rPr>
            </w:pPr>
          </w:p>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2.02</w:t>
            </w:r>
          </w:p>
        </w:tc>
      </w:tr>
      <w:tr w:rsidR="004264CD" w:rsidRPr="004264CD" w:rsidTr="00CC47C1">
        <w:trPr>
          <w:trHeight w:val="533"/>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37</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Delavari A, Forouzanfar, MH, Alikhani S,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First Nationwide Study of the Prevalence of the Metabolic Syndrome and Optimal Cutoff Points of Waist Circumference in the Middle East The National Survey of Risk Factors for Noncommunicable Diseases of Iran</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Diabetes Care </w:t>
            </w:r>
            <w:r w:rsidRPr="004264CD">
              <w:rPr>
                <w:rFonts w:asciiTheme="majorBidi" w:hAnsiTheme="majorBidi" w:cstheme="majorBidi"/>
                <w:b/>
                <w:bCs/>
                <w:sz w:val="18"/>
                <w:szCs w:val="18"/>
              </w:rPr>
              <w:t>2009</w:t>
            </w:r>
            <w:r w:rsidRPr="004264CD">
              <w:rPr>
                <w:rFonts w:asciiTheme="majorBidi" w:hAnsiTheme="majorBidi" w:cstheme="majorBidi"/>
                <w:sz w:val="18"/>
                <w:szCs w:val="18"/>
              </w:rPr>
              <w:t>;32(6):1029-1097</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81.4%</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181</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Public health</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6.718</w:t>
            </w:r>
          </w:p>
        </w:tc>
      </w:tr>
      <w:tr w:rsidR="004264CD" w:rsidRPr="004264CD" w:rsidTr="00CC47C1">
        <w:trPr>
          <w:trHeight w:val="533"/>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38</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Akhondzadeh S, Jafari S, Raisi F,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Clinical trial of adjunctive celecoxib treatment in patients with major depression: a double blind and placebo controlled trial</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Depression and Anxiety </w:t>
            </w:r>
            <w:r w:rsidRPr="004264CD">
              <w:rPr>
                <w:rFonts w:asciiTheme="majorBidi" w:hAnsiTheme="majorBidi" w:cstheme="majorBidi"/>
                <w:b/>
                <w:bCs/>
                <w:sz w:val="18"/>
                <w:szCs w:val="18"/>
              </w:rPr>
              <w:t>2009</w:t>
            </w:r>
            <w:r w:rsidRPr="004264CD">
              <w:rPr>
                <w:rFonts w:asciiTheme="majorBidi" w:hAnsiTheme="majorBidi" w:cstheme="majorBidi"/>
                <w:sz w:val="18"/>
                <w:szCs w:val="18"/>
              </w:rPr>
              <w:t>;26(7):607-611</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12.9%</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171</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Clinical</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2.926</w:t>
            </w:r>
          </w:p>
        </w:tc>
      </w:tr>
      <w:tr w:rsidR="004264CD" w:rsidRPr="004264CD" w:rsidTr="00CC47C1">
        <w:trPr>
          <w:trHeight w:val="427"/>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39</w:t>
            </w:r>
          </w:p>
        </w:tc>
        <w:tc>
          <w:tcPr>
            <w:tcW w:w="2127" w:type="dxa"/>
            <w:vAlign w:val="center"/>
          </w:tcPr>
          <w:p w:rsidR="004264CD" w:rsidRPr="004264CD" w:rsidRDefault="004264CD" w:rsidP="00CC47C1">
            <w:pPr>
              <w:shd w:val="clear" w:color="auto" w:fill="F8F8F8"/>
              <w:rPr>
                <w:rFonts w:asciiTheme="majorBidi" w:eastAsia="Times New Roman" w:hAnsiTheme="majorBidi" w:cstheme="majorBidi"/>
                <w:sz w:val="18"/>
                <w:szCs w:val="18"/>
                <w:lang w:eastAsia="en-GB"/>
              </w:rPr>
            </w:pPr>
            <w:r w:rsidRPr="004264CD">
              <w:rPr>
                <w:rFonts w:asciiTheme="majorBidi" w:hAnsiTheme="majorBidi" w:cstheme="majorBidi"/>
                <w:sz w:val="18"/>
                <w:szCs w:val="18"/>
              </w:rPr>
              <w:t>Ranjbar B, Gill P</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Circular Dichroism Techniques: Biomolecular and Nanostructural Analyses- A Review</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Chemical Biology &amp; Drug Design </w:t>
            </w:r>
            <w:r w:rsidRPr="004264CD">
              <w:rPr>
                <w:rFonts w:asciiTheme="majorBidi" w:hAnsiTheme="majorBidi" w:cstheme="majorBidi"/>
                <w:b/>
                <w:bCs/>
                <w:sz w:val="18"/>
                <w:szCs w:val="18"/>
              </w:rPr>
              <w:t>2009</w:t>
            </w:r>
            <w:r w:rsidRPr="004264CD">
              <w:rPr>
                <w:rFonts w:asciiTheme="majorBidi" w:hAnsiTheme="majorBidi" w:cstheme="majorBidi"/>
                <w:sz w:val="18"/>
                <w:szCs w:val="18"/>
              </w:rPr>
              <w:t>;74(2):101-120</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16.3%</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166</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2.473</w:t>
            </w:r>
          </w:p>
        </w:tc>
      </w:tr>
      <w:tr w:rsidR="004264CD" w:rsidRPr="004264CD" w:rsidTr="00CC47C1">
        <w:trPr>
          <w:trHeight w:val="30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40</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Ghasemi K, Ghasemi Y, Ebrahimzadeh MA</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Antioxidant activity, phenol and flavonoid contents of 13 citrus species peels and tissues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Pakistan Journal of Pharmaceutical Sciences </w:t>
            </w:r>
            <w:r w:rsidRPr="004264CD">
              <w:rPr>
                <w:rFonts w:asciiTheme="majorBidi" w:hAnsiTheme="majorBidi" w:cstheme="majorBidi"/>
                <w:b/>
                <w:bCs/>
                <w:sz w:val="18"/>
                <w:szCs w:val="18"/>
              </w:rPr>
              <w:t>2009</w:t>
            </w:r>
            <w:r w:rsidRPr="004264CD">
              <w:rPr>
                <w:rFonts w:asciiTheme="majorBidi" w:hAnsiTheme="majorBidi" w:cstheme="majorBidi"/>
                <w:sz w:val="18"/>
                <w:szCs w:val="18"/>
              </w:rPr>
              <w:t>;22(3):277-281</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25.3%</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161</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0.588</w:t>
            </w:r>
          </w:p>
        </w:tc>
      </w:tr>
      <w:tr w:rsidR="004264CD" w:rsidRPr="004264CD" w:rsidTr="00CC47C1">
        <w:trPr>
          <w:trHeight w:val="598"/>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41</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Esmaeili M, Mohabatkar H, Mohsenzadeh S</w:t>
            </w:r>
          </w:p>
          <w:p w:rsidR="004264CD" w:rsidRPr="004264CD" w:rsidRDefault="004264CD" w:rsidP="00CC47C1">
            <w:pPr>
              <w:rPr>
                <w:rFonts w:asciiTheme="majorBidi" w:hAnsiTheme="majorBidi" w:cstheme="majorBidi"/>
                <w:sz w:val="18"/>
                <w:szCs w:val="18"/>
              </w:rPr>
            </w:pP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Using the concept of Chou's pseudo amino acid composition for risk type prediction of human papillomaviruses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Theoretical Biology </w:t>
            </w:r>
            <w:r w:rsidRPr="004264CD">
              <w:rPr>
                <w:rFonts w:asciiTheme="majorBidi" w:hAnsiTheme="majorBidi" w:cstheme="majorBidi"/>
                <w:b/>
                <w:bCs/>
                <w:sz w:val="18"/>
                <w:szCs w:val="18"/>
              </w:rPr>
              <w:t>2010</w:t>
            </w:r>
            <w:r w:rsidRPr="004264CD">
              <w:rPr>
                <w:rFonts w:asciiTheme="majorBidi" w:hAnsiTheme="majorBidi" w:cstheme="majorBidi"/>
                <w:sz w:val="18"/>
                <w:szCs w:val="18"/>
              </w:rPr>
              <w:t>;263(2):203-209</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6.6%</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258</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2.371</w:t>
            </w:r>
          </w:p>
        </w:tc>
      </w:tr>
      <w:tr w:rsidR="004264CD" w:rsidRPr="004264CD" w:rsidTr="00CC47C1">
        <w:trPr>
          <w:trHeight w:val="427"/>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42</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Mohabatkar H</w:t>
            </w:r>
          </w:p>
          <w:p w:rsidR="004264CD" w:rsidRPr="004264CD" w:rsidRDefault="004264CD" w:rsidP="00CC47C1">
            <w:pPr>
              <w:rPr>
                <w:rFonts w:asciiTheme="majorBidi" w:hAnsiTheme="majorBidi" w:cstheme="majorBidi"/>
                <w:sz w:val="18"/>
                <w:szCs w:val="18"/>
              </w:rPr>
            </w:pP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Prediction of Cyclin Proteins Using Chou's Pseudo Amino Acid Composition</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Protein and Peptide Letters </w:t>
            </w:r>
            <w:r w:rsidRPr="004264CD">
              <w:rPr>
                <w:rFonts w:asciiTheme="majorBidi" w:hAnsiTheme="majorBidi" w:cstheme="majorBidi"/>
                <w:b/>
                <w:bCs/>
                <w:sz w:val="18"/>
                <w:szCs w:val="18"/>
              </w:rPr>
              <w:t>2010</w:t>
            </w:r>
            <w:r w:rsidRPr="004264CD">
              <w:rPr>
                <w:rFonts w:asciiTheme="majorBidi" w:hAnsiTheme="majorBidi" w:cstheme="majorBidi"/>
                <w:sz w:val="18"/>
                <w:szCs w:val="18"/>
              </w:rPr>
              <w:t>;17(10):1207-1214</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4.7%</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215</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1.849</w:t>
            </w:r>
          </w:p>
        </w:tc>
      </w:tr>
      <w:tr w:rsidR="004264CD" w:rsidRPr="004264CD" w:rsidTr="00CC47C1">
        <w:trPr>
          <w:trHeight w:val="352"/>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43</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Mohabatkar H, Beigi  MM, Esmaeili A</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Prediction of GABA(A) receptor proteins using the concept of Chou's pseudo-amino acid composition and support vector machine</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Journal of Theoretical Biology </w:t>
            </w:r>
            <w:r w:rsidRPr="004264CD">
              <w:rPr>
                <w:rFonts w:asciiTheme="majorBidi" w:hAnsiTheme="majorBidi" w:cstheme="majorBidi"/>
                <w:b/>
                <w:bCs/>
                <w:sz w:val="18"/>
                <w:szCs w:val="18"/>
              </w:rPr>
              <w:t>2011</w:t>
            </w:r>
            <w:r w:rsidRPr="004264CD">
              <w:rPr>
                <w:rFonts w:asciiTheme="majorBidi" w:hAnsiTheme="majorBidi" w:cstheme="majorBidi"/>
                <w:sz w:val="18"/>
                <w:szCs w:val="18"/>
              </w:rPr>
              <w:t>;281(1):18-23</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6.6%</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183</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2.208</w:t>
            </w:r>
          </w:p>
        </w:tc>
      </w:tr>
      <w:tr w:rsidR="004264CD" w:rsidRPr="004264CD" w:rsidTr="00CC47C1">
        <w:trPr>
          <w:trHeight w:val="376"/>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lastRenderedPageBreak/>
              <w:t>44</w:t>
            </w:r>
          </w:p>
        </w:tc>
        <w:tc>
          <w:tcPr>
            <w:tcW w:w="2127"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hAnsiTheme="majorBidi" w:cstheme="majorBidi"/>
                <w:sz w:val="18"/>
                <w:szCs w:val="18"/>
              </w:rPr>
              <w:t>Jadidi-Niaragh F, Mirshafiey A.</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Th17 Cell, the New Player of Neuroinflammatory Process in Multiple Sclerosis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Scandinavian Journal of Immunology </w:t>
            </w:r>
            <w:r w:rsidRPr="004264CD">
              <w:rPr>
                <w:rFonts w:asciiTheme="majorBidi" w:hAnsiTheme="majorBidi" w:cstheme="majorBidi"/>
                <w:b/>
                <w:bCs/>
                <w:sz w:val="18"/>
                <w:szCs w:val="18"/>
              </w:rPr>
              <w:t>2011</w:t>
            </w:r>
            <w:r w:rsidRPr="004264CD">
              <w:rPr>
                <w:rFonts w:asciiTheme="majorBidi" w:hAnsiTheme="majorBidi" w:cstheme="majorBidi"/>
                <w:sz w:val="18"/>
                <w:szCs w:val="18"/>
              </w:rPr>
              <w:t>;74(1):1-13</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16.6%</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164</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2.230</w:t>
            </w:r>
          </w:p>
        </w:tc>
      </w:tr>
      <w:tr w:rsidR="004264CD" w:rsidRPr="004264CD" w:rsidTr="00CC47C1">
        <w:trPr>
          <w:trHeight w:val="376"/>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45</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Dinarvand R, Sepehri N, Manoochehri S,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Polylactide-co-glycolide nanoparticles for controlled delivery of anticancer agents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International Journal of Nanomedicine </w:t>
            </w:r>
            <w:r w:rsidRPr="004264CD">
              <w:rPr>
                <w:rFonts w:asciiTheme="majorBidi" w:hAnsiTheme="majorBidi" w:cstheme="majorBidi"/>
                <w:b/>
                <w:bCs/>
                <w:sz w:val="18"/>
                <w:szCs w:val="18"/>
              </w:rPr>
              <w:t>2011</w:t>
            </w:r>
            <w:r w:rsidRPr="004264CD">
              <w:rPr>
                <w:rFonts w:asciiTheme="majorBidi" w:hAnsiTheme="majorBidi" w:cstheme="majorBidi"/>
                <w:sz w:val="18"/>
                <w:szCs w:val="18"/>
              </w:rPr>
              <w:t>;6:877-895</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13.6%</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156</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Review – 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3.13</w:t>
            </w:r>
          </w:p>
        </w:tc>
      </w:tr>
      <w:tr w:rsidR="004264CD" w:rsidRPr="004264CD" w:rsidTr="00CC47C1">
        <w:trPr>
          <w:trHeight w:val="395"/>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46</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Nabavi SM, Nabavi SF, Eslami S, et al.</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In vivo protective effects of quercetin against sodium fluoride-induced oxidative stress in the hepatic tissue</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hAnsiTheme="majorBidi" w:cstheme="majorBidi"/>
                <w:sz w:val="18"/>
                <w:szCs w:val="18"/>
              </w:rPr>
              <w:t xml:space="preserve">Food Chemistry </w:t>
            </w:r>
            <w:r w:rsidRPr="004264CD">
              <w:rPr>
                <w:rFonts w:asciiTheme="majorBidi" w:hAnsiTheme="majorBidi" w:cstheme="majorBidi"/>
                <w:b/>
                <w:bCs/>
                <w:sz w:val="18"/>
                <w:szCs w:val="18"/>
              </w:rPr>
              <w:t>2012</w:t>
            </w:r>
            <w:r w:rsidRPr="004264CD">
              <w:rPr>
                <w:rFonts w:asciiTheme="majorBidi" w:hAnsiTheme="majorBidi" w:cstheme="majorBidi"/>
                <w:sz w:val="18"/>
                <w:szCs w:val="18"/>
              </w:rPr>
              <w:t>;132(2):931-935</w:t>
            </w:r>
          </w:p>
        </w:tc>
        <w:tc>
          <w:tcPr>
            <w:tcW w:w="1417"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55%</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156</w:t>
            </w:r>
          </w:p>
        </w:tc>
        <w:tc>
          <w:tcPr>
            <w:tcW w:w="1281"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hAnsiTheme="majorBidi" w:cstheme="majorBidi"/>
                <w:sz w:val="18"/>
                <w:szCs w:val="18"/>
              </w:rPr>
              <w:t>3.334</w:t>
            </w:r>
          </w:p>
        </w:tc>
      </w:tr>
      <w:tr w:rsidR="004264CD" w:rsidRPr="004264CD" w:rsidTr="00CC47C1">
        <w:trPr>
          <w:trHeight w:val="400"/>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47</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Mostafalou S, Abdollahi M.</w:t>
            </w:r>
          </w:p>
        </w:tc>
        <w:tc>
          <w:tcPr>
            <w:tcW w:w="4394" w:type="dxa"/>
            <w:vAlign w:val="center"/>
          </w:tcPr>
          <w:p w:rsidR="004264CD" w:rsidRPr="004264CD" w:rsidRDefault="004264CD" w:rsidP="00CC47C1">
            <w:pP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Pesticides and human chronic diseases: evidences, mechanism, and perspectives</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 xml:space="preserve">Toxicology and Applied Pharmacology </w:t>
            </w:r>
            <w:r w:rsidRPr="004264CD">
              <w:rPr>
                <w:rFonts w:asciiTheme="majorBidi" w:eastAsia="Times New Roman" w:hAnsiTheme="majorBidi" w:cstheme="majorBidi"/>
                <w:b/>
                <w:bCs/>
                <w:sz w:val="18"/>
                <w:szCs w:val="18"/>
                <w:lang w:eastAsia="en-GB"/>
              </w:rPr>
              <w:t>2013</w:t>
            </w:r>
            <w:r w:rsidRPr="004264CD">
              <w:rPr>
                <w:rFonts w:asciiTheme="majorBidi" w:eastAsia="Times New Roman" w:hAnsiTheme="majorBidi" w:cstheme="majorBidi"/>
                <w:sz w:val="18"/>
                <w:szCs w:val="18"/>
                <w:lang w:eastAsia="en-GB"/>
              </w:rPr>
              <w:t>;268(2):157-177</w:t>
            </w:r>
          </w:p>
        </w:tc>
        <w:tc>
          <w:tcPr>
            <w:tcW w:w="1417" w:type="dxa"/>
            <w:vAlign w:val="center"/>
          </w:tcPr>
          <w:p w:rsidR="004264CD" w:rsidRPr="004264CD" w:rsidRDefault="004264CD"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15.8%</w:t>
            </w:r>
          </w:p>
        </w:tc>
        <w:tc>
          <w:tcPr>
            <w:tcW w:w="1134" w:type="dxa"/>
            <w:vAlign w:val="center"/>
          </w:tcPr>
          <w:p w:rsidR="004264CD" w:rsidRPr="004264CD" w:rsidRDefault="004264CD" w:rsidP="00CC47C1">
            <w:pPr>
              <w:jc w:val="center"/>
              <w:rPr>
                <w:rFonts w:asciiTheme="majorBidi" w:hAnsiTheme="majorBidi" w:cstheme="majorBidi"/>
                <w:sz w:val="18"/>
                <w:szCs w:val="18"/>
              </w:rPr>
            </w:pPr>
            <w:r w:rsidRPr="004264CD">
              <w:rPr>
                <w:rFonts w:asciiTheme="majorBidi" w:eastAsia="Times New Roman" w:hAnsiTheme="majorBidi" w:cstheme="majorBidi"/>
                <w:sz w:val="18"/>
                <w:szCs w:val="18"/>
                <w:lang w:eastAsia="en-GB"/>
              </w:rPr>
              <w:t>255</w:t>
            </w:r>
          </w:p>
        </w:tc>
        <w:tc>
          <w:tcPr>
            <w:tcW w:w="1281" w:type="dxa"/>
            <w:vAlign w:val="center"/>
          </w:tcPr>
          <w:p w:rsidR="004264CD" w:rsidRPr="004264CD" w:rsidRDefault="004264CD"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Review – Public health</w:t>
            </w:r>
          </w:p>
        </w:tc>
        <w:tc>
          <w:tcPr>
            <w:tcW w:w="1838" w:type="dxa"/>
            <w:vAlign w:val="center"/>
          </w:tcPr>
          <w:p w:rsidR="004264CD" w:rsidRPr="004264CD" w:rsidRDefault="004264CD" w:rsidP="00CC47C1">
            <w:pPr>
              <w:jc w:val="center"/>
              <w:rPr>
                <w:rFonts w:asciiTheme="majorBidi" w:eastAsia="Times New Roman" w:hAnsiTheme="majorBidi" w:cstheme="majorBidi"/>
                <w:sz w:val="18"/>
                <w:szCs w:val="18"/>
                <w:lang w:eastAsia="en-GB"/>
              </w:rPr>
            </w:pPr>
            <w:r w:rsidRPr="004264CD">
              <w:rPr>
                <w:rFonts w:asciiTheme="majorBidi" w:eastAsia="Times New Roman" w:hAnsiTheme="majorBidi" w:cstheme="majorBidi"/>
                <w:sz w:val="18"/>
                <w:szCs w:val="18"/>
                <w:lang w:eastAsia="en-GB"/>
              </w:rPr>
              <w:t>3.975</w:t>
            </w:r>
          </w:p>
        </w:tc>
      </w:tr>
      <w:tr w:rsidR="004264CD" w:rsidRPr="004264CD" w:rsidTr="0095290E">
        <w:trPr>
          <w:trHeight w:val="299"/>
        </w:trPr>
        <w:tc>
          <w:tcPr>
            <w:tcW w:w="562" w:type="dxa"/>
            <w:vAlign w:val="center"/>
          </w:tcPr>
          <w:p w:rsidR="004264CD" w:rsidRPr="004264CD" w:rsidRDefault="004264CD" w:rsidP="00CC47C1">
            <w:pPr>
              <w:jc w:val="center"/>
              <w:rPr>
                <w:rFonts w:asciiTheme="majorBidi" w:hAnsiTheme="majorBidi" w:cstheme="majorBidi"/>
                <w:sz w:val="20"/>
                <w:szCs w:val="20"/>
              </w:rPr>
            </w:pPr>
            <w:r w:rsidRPr="004264CD">
              <w:rPr>
                <w:rFonts w:asciiTheme="majorBidi" w:hAnsiTheme="majorBidi" w:cstheme="majorBidi"/>
                <w:sz w:val="20"/>
                <w:szCs w:val="20"/>
              </w:rPr>
              <w:t>48</w:t>
            </w:r>
          </w:p>
        </w:tc>
        <w:tc>
          <w:tcPr>
            <w:tcW w:w="2127"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Karimi-Maleh H, Biparva P, Hatami M.</w:t>
            </w:r>
          </w:p>
        </w:tc>
        <w:tc>
          <w:tcPr>
            <w:tcW w:w="4394"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A novel modified carbon paste electrode based on NiO/CNTs nanocomposite and (9, 10-dihydro-9, 10-ethanoanthracene-11, 12-dicarboximido)-4-ethylbenzene-1, 2-diol as a mediator for simultaneous determination of cysteamine, nicotinamide adenine dinucleotide and folic acid</w:t>
            </w:r>
          </w:p>
        </w:tc>
        <w:tc>
          <w:tcPr>
            <w:tcW w:w="2977" w:type="dxa"/>
            <w:vAlign w:val="center"/>
          </w:tcPr>
          <w:p w:rsidR="004264CD" w:rsidRPr="004264CD" w:rsidRDefault="004264CD" w:rsidP="00CC47C1">
            <w:pPr>
              <w:rPr>
                <w:rFonts w:asciiTheme="majorBidi" w:hAnsiTheme="majorBidi" w:cstheme="majorBidi"/>
                <w:sz w:val="18"/>
                <w:szCs w:val="18"/>
              </w:rPr>
            </w:pPr>
            <w:r w:rsidRPr="004264CD">
              <w:rPr>
                <w:rFonts w:asciiTheme="majorBidi" w:eastAsia="Times New Roman" w:hAnsiTheme="majorBidi" w:cstheme="majorBidi"/>
                <w:sz w:val="18"/>
                <w:szCs w:val="18"/>
                <w:lang w:eastAsia="en-GB"/>
              </w:rPr>
              <w:t xml:space="preserve">Biosensors and Bioelectronics </w:t>
            </w:r>
            <w:r w:rsidRPr="004264CD">
              <w:rPr>
                <w:rFonts w:asciiTheme="majorBidi" w:eastAsia="Times New Roman" w:hAnsiTheme="majorBidi" w:cstheme="majorBidi"/>
                <w:b/>
                <w:bCs/>
                <w:sz w:val="18"/>
                <w:szCs w:val="18"/>
                <w:lang w:eastAsia="en-GB"/>
              </w:rPr>
              <w:t>2013</w:t>
            </w:r>
            <w:r w:rsidRPr="004264CD">
              <w:rPr>
                <w:rFonts w:asciiTheme="majorBidi" w:eastAsia="Times New Roman" w:hAnsiTheme="majorBidi" w:cstheme="majorBidi"/>
                <w:sz w:val="18"/>
                <w:szCs w:val="18"/>
                <w:lang w:eastAsia="en-GB"/>
              </w:rPr>
              <w:t>;48:270-275</w:t>
            </w:r>
          </w:p>
        </w:tc>
        <w:tc>
          <w:tcPr>
            <w:tcW w:w="1417" w:type="dxa"/>
            <w:vAlign w:val="center"/>
          </w:tcPr>
          <w:p w:rsidR="004264CD" w:rsidRPr="004264CD" w:rsidRDefault="004264CD" w:rsidP="0095290E">
            <w:pPr>
              <w:jc w:val="center"/>
              <w:rPr>
                <w:rFonts w:asciiTheme="majorBidi" w:hAnsiTheme="majorBidi" w:cstheme="majorBidi"/>
                <w:sz w:val="18"/>
                <w:szCs w:val="18"/>
              </w:rPr>
            </w:pPr>
            <w:r w:rsidRPr="004264CD">
              <w:rPr>
                <w:rFonts w:asciiTheme="majorBidi" w:hAnsiTheme="majorBidi" w:cstheme="majorBidi"/>
                <w:sz w:val="18"/>
                <w:szCs w:val="18"/>
              </w:rPr>
              <w:t>63.5%</w:t>
            </w:r>
          </w:p>
          <w:p w:rsidR="004264CD" w:rsidRPr="004264CD" w:rsidRDefault="004264CD" w:rsidP="0095290E">
            <w:pPr>
              <w:jc w:val="center"/>
              <w:rPr>
                <w:rFonts w:asciiTheme="majorBidi" w:hAnsiTheme="majorBidi" w:cstheme="majorBidi"/>
                <w:sz w:val="18"/>
                <w:szCs w:val="18"/>
              </w:rPr>
            </w:pPr>
          </w:p>
          <w:p w:rsidR="004264CD" w:rsidRPr="004264CD" w:rsidRDefault="004264CD" w:rsidP="0095290E">
            <w:pPr>
              <w:jc w:val="center"/>
              <w:rPr>
                <w:rFonts w:asciiTheme="majorBidi" w:hAnsiTheme="majorBidi" w:cstheme="majorBidi"/>
                <w:sz w:val="18"/>
                <w:szCs w:val="18"/>
              </w:rPr>
            </w:pPr>
          </w:p>
        </w:tc>
        <w:tc>
          <w:tcPr>
            <w:tcW w:w="1134" w:type="dxa"/>
            <w:vAlign w:val="center"/>
          </w:tcPr>
          <w:p w:rsidR="004264CD" w:rsidRPr="004264CD" w:rsidRDefault="004264CD" w:rsidP="0095290E">
            <w:pPr>
              <w:jc w:val="center"/>
              <w:rPr>
                <w:rFonts w:asciiTheme="majorBidi" w:hAnsiTheme="majorBidi" w:cstheme="majorBidi"/>
                <w:sz w:val="18"/>
                <w:szCs w:val="18"/>
              </w:rPr>
            </w:pPr>
            <w:r w:rsidRPr="004264CD">
              <w:rPr>
                <w:rFonts w:asciiTheme="majorBidi" w:hAnsiTheme="majorBidi" w:cstheme="majorBidi"/>
                <w:sz w:val="18"/>
                <w:szCs w:val="18"/>
              </w:rPr>
              <w:t>192</w:t>
            </w:r>
          </w:p>
        </w:tc>
        <w:tc>
          <w:tcPr>
            <w:tcW w:w="1281" w:type="dxa"/>
            <w:vAlign w:val="center"/>
          </w:tcPr>
          <w:p w:rsidR="004264CD" w:rsidRPr="004264CD" w:rsidRDefault="004264CD" w:rsidP="0095290E">
            <w:pPr>
              <w:jc w:val="center"/>
              <w:rPr>
                <w:rFonts w:asciiTheme="majorBidi" w:hAnsiTheme="majorBidi" w:cstheme="majorBidi"/>
                <w:sz w:val="18"/>
                <w:szCs w:val="18"/>
              </w:rPr>
            </w:pPr>
            <w:r w:rsidRPr="004264CD">
              <w:rPr>
                <w:rFonts w:asciiTheme="majorBidi" w:hAnsiTheme="majorBidi" w:cstheme="majorBidi"/>
                <w:sz w:val="18"/>
                <w:szCs w:val="18"/>
              </w:rPr>
              <w:t>Basic</w:t>
            </w:r>
          </w:p>
        </w:tc>
        <w:tc>
          <w:tcPr>
            <w:tcW w:w="1838" w:type="dxa"/>
            <w:vAlign w:val="center"/>
          </w:tcPr>
          <w:p w:rsidR="004264CD" w:rsidRPr="004264CD" w:rsidRDefault="004264CD" w:rsidP="0095290E">
            <w:pPr>
              <w:jc w:val="center"/>
              <w:rPr>
                <w:rFonts w:asciiTheme="majorBidi" w:hAnsiTheme="majorBidi" w:cstheme="majorBidi"/>
                <w:sz w:val="18"/>
                <w:szCs w:val="18"/>
              </w:rPr>
            </w:pPr>
            <w:r w:rsidRPr="004264CD">
              <w:rPr>
                <w:rFonts w:asciiTheme="majorBidi" w:hAnsiTheme="majorBidi" w:cstheme="majorBidi"/>
                <w:sz w:val="18"/>
                <w:szCs w:val="18"/>
              </w:rPr>
              <w:t>6.541</w:t>
            </w:r>
          </w:p>
        </w:tc>
      </w:tr>
    </w:tbl>
    <w:p w:rsidR="00CC47C1" w:rsidRDefault="00CC47C1" w:rsidP="00DD3F95">
      <w:pPr>
        <w:rPr>
          <w:rFonts w:ascii="Cambria" w:hAnsi="Cambria" w:cs="Arial"/>
          <w:shd w:val="clear" w:color="auto" w:fill="F8F8F8"/>
        </w:rPr>
      </w:pPr>
    </w:p>
    <w:tbl>
      <w:tblPr>
        <w:tblStyle w:val="GridTable1Light"/>
        <w:tblpPr w:leftFromText="180" w:rightFromText="180" w:vertAnchor="text" w:horzAnchor="margin" w:tblpY="701"/>
        <w:tblW w:w="0" w:type="auto"/>
        <w:tblLook w:val="04A0" w:firstRow="1" w:lastRow="0" w:firstColumn="1" w:lastColumn="0" w:noHBand="0" w:noVBand="1"/>
      </w:tblPr>
      <w:tblGrid>
        <w:gridCol w:w="2140"/>
        <w:gridCol w:w="2181"/>
        <w:gridCol w:w="2013"/>
        <w:gridCol w:w="1032"/>
      </w:tblGrid>
      <w:tr w:rsidR="00CC47C1" w:rsidRPr="00D143DE" w:rsidTr="008F7279">
        <w:trPr>
          <w:cnfStyle w:val="100000000000" w:firstRow="1" w:lastRow="0" w:firstColumn="0" w:lastColumn="0" w:oddVBand="0" w:evenVBand="0" w:oddHBand="0" w:evenHBand="0" w:firstRowFirstColumn="0" w:firstRowLastColumn="0" w:lastRowFirstColumn="0" w:lastRowLastColumn="0"/>
          <w:trHeight w:val="669"/>
        </w:trPr>
        <w:tc>
          <w:tcPr>
            <w:cnfStyle w:val="001000000000" w:firstRow="0" w:lastRow="0" w:firstColumn="1" w:lastColumn="0" w:oddVBand="0" w:evenVBand="0" w:oddHBand="0" w:evenHBand="0" w:firstRowFirstColumn="0" w:firstRowLastColumn="0" w:lastRowFirstColumn="0" w:lastRowLastColumn="0"/>
            <w:tcW w:w="7366" w:type="dxa"/>
            <w:gridSpan w:val="4"/>
          </w:tcPr>
          <w:p w:rsidR="00CC47C1" w:rsidRPr="005F204E" w:rsidRDefault="00CC47C1" w:rsidP="008F7279">
            <w:pPr>
              <w:ind w:left="0" w:right="169"/>
              <w:jc w:val="both"/>
              <w:rPr>
                <w:rFonts w:ascii="Cambria" w:hAnsi="Cambria" w:cstheme="majorBidi"/>
                <w:shd w:val="clear" w:color="auto" w:fill="FFFFFF"/>
              </w:rPr>
            </w:pPr>
            <w:r>
              <w:rPr>
                <w:rFonts w:ascii="Cambria" w:hAnsi="Cambria" w:cstheme="majorBidi"/>
                <w:shd w:val="clear" w:color="auto" w:fill="FFFFFF"/>
              </w:rPr>
              <w:t xml:space="preserve">Table S4. </w:t>
            </w:r>
            <w:r w:rsidRPr="00CC47C1">
              <w:rPr>
                <w:rFonts w:ascii="Cambria" w:hAnsi="Cambria" w:cstheme="majorBidi"/>
                <w:b w:val="0"/>
                <w:bCs w:val="0"/>
                <w:shd w:val="clear" w:color="auto" w:fill="FFFFFF"/>
              </w:rPr>
              <w:t>Distribution of document types and research categories across the 48 ‘only Iranian’ h-core publications</w:t>
            </w:r>
          </w:p>
        </w:tc>
      </w:tr>
      <w:tr w:rsidR="00CC47C1" w:rsidRPr="00D143DE" w:rsidTr="008F7279">
        <w:trPr>
          <w:trHeight w:val="394"/>
        </w:trPr>
        <w:tc>
          <w:tcPr>
            <w:cnfStyle w:val="001000000000" w:firstRow="0" w:lastRow="0" w:firstColumn="1" w:lastColumn="0" w:oddVBand="0" w:evenVBand="0" w:oddHBand="0" w:evenHBand="0" w:firstRowFirstColumn="0" w:firstRowLastColumn="0" w:lastRowFirstColumn="0" w:lastRowLastColumn="0"/>
            <w:tcW w:w="2140" w:type="dxa"/>
          </w:tcPr>
          <w:p w:rsidR="00CC47C1" w:rsidRPr="005F204E" w:rsidRDefault="00CC47C1" w:rsidP="00CC47C1">
            <w:pPr>
              <w:spacing w:line="276" w:lineRule="auto"/>
              <w:ind w:left="0"/>
              <w:jc w:val="both"/>
              <w:rPr>
                <w:rFonts w:ascii="Cambria" w:hAnsi="Cambria" w:cstheme="majorBidi"/>
                <w:shd w:val="clear" w:color="auto" w:fill="FFFFFF"/>
              </w:rPr>
            </w:pPr>
          </w:p>
        </w:tc>
        <w:tc>
          <w:tcPr>
            <w:tcW w:w="2181" w:type="dxa"/>
          </w:tcPr>
          <w:p w:rsidR="00CC47C1" w:rsidRPr="005F204E" w:rsidRDefault="00CC47C1" w:rsidP="00CC47C1">
            <w:pPr>
              <w:spacing w:line="276" w:lineRule="auto"/>
              <w:ind w:left="0"/>
              <w:jc w:val="both"/>
              <w:cnfStyle w:val="000000000000" w:firstRow="0" w:lastRow="0" w:firstColumn="0" w:lastColumn="0" w:oddVBand="0" w:evenVBand="0" w:oddHBand="0" w:evenHBand="0" w:firstRowFirstColumn="0" w:firstRowLastColumn="0" w:lastRowFirstColumn="0" w:lastRowLastColumn="0"/>
              <w:rPr>
                <w:rFonts w:ascii="Cambria" w:hAnsi="Cambria" w:cstheme="majorBidi"/>
                <w:shd w:val="clear" w:color="auto" w:fill="FFFFFF"/>
              </w:rPr>
            </w:pPr>
            <w:r w:rsidRPr="005F204E">
              <w:rPr>
                <w:rFonts w:ascii="Cambria" w:hAnsi="Cambria" w:cstheme="majorBidi"/>
                <w:shd w:val="clear" w:color="auto" w:fill="FFFFFF"/>
              </w:rPr>
              <w:t>Original Article</w:t>
            </w:r>
          </w:p>
        </w:tc>
        <w:tc>
          <w:tcPr>
            <w:tcW w:w="2013" w:type="dxa"/>
          </w:tcPr>
          <w:p w:rsidR="00CC47C1" w:rsidRPr="005F204E" w:rsidRDefault="00CC47C1" w:rsidP="00CC47C1">
            <w:pPr>
              <w:spacing w:line="276" w:lineRule="auto"/>
              <w:ind w:left="0"/>
              <w:jc w:val="both"/>
              <w:cnfStyle w:val="000000000000" w:firstRow="0" w:lastRow="0" w:firstColumn="0" w:lastColumn="0" w:oddVBand="0" w:evenVBand="0" w:oddHBand="0" w:evenHBand="0" w:firstRowFirstColumn="0" w:firstRowLastColumn="0" w:lastRowFirstColumn="0" w:lastRowLastColumn="0"/>
              <w:rPr>
                <w:rFonts w:ascii="Cambria" w:hAnsi="Cambria" w:cstheme="majorBidi"/>
                <w:shd w:val="clear" w:color="auto" w:fill="FFFFFF"/>
              </w:rPr>
            </w:pPr>
            <w:r w:rsidRPr="005F204E">
              <w:rPr>
                <w:rFonts w:ascii="Cambria" w:hAnsi="Cambria" w:cstheme="majorBidi"/>
                <w:shd w:val="clear" w:color="auto" w:fill="FFFFFF"/>
              </w:rPr>
              <w:t>Review Article</w:t>
            </w:r>
          </w:p>
        </w:tc>
        <w:tc>
          <w:tcPr>
            <w:tcW w:w="1032" w:type="dxa"/>
          </w:tcPr>
          <w:p w:rsidR="00CC47C1" w:rsidRPr="005F204E" w:rsidRDefault="00CC47C1" w:rsidP="00CC47C1">
            <w:pPr>
              <w:spacing w:line="276" w:lineRule="auto"/>
              <w:ind w:left="0" w:firstLine="176"/>
              <w:jc w:val="both"/>
              <w:cnfStyle w:val="000000000000" w:firstRow="0" w:lastRow="0" w:firstColumn="0" w:lastColumn="0" w:oddVBand="0" w:evenVBand="0" w:oddHBand="0" w:evenHBand="0" w:firstRowFirstColumn="0" w:firstRowLastColumn="0" w:lastRowFirstColumn="0" w:lastRowLastColumn="0"/>
              <w:rPr>
                <w:rFonts w:ascii="Cambria" w:hAnsi="Cambria" w:cstheme="majorBidi"/>
                <w:shd w:val="clear" w:color="auto" w:fill="FFFFFF"/>
              </w:rPr>
            </w:pPr>
            <w:r w:rsidRPr="005F204E">
              <w:rPr>
                <w:rFonts w:ascii="Cambria" w:hAnsi="Cambria" w:cstheme="majorBidi"/>
                <w:shd w:val="clear" w:color="auto" w:fill="FFFFFF"/>
              </w:rPr>
              <w:t xml:space="preserve">Total </w:t>
            </w:r>
          </w:p>
        </w:tc>
      </w:tr>
      <w:tr w:rsidR="00CC47C1" w:rsidRPr="00D143DE" w:rsidTr="008F7279">
        <w:trPr>
          <w:trHeight w:val="374"/>
        </w:trPr>
        <w:tc>
          <w:tcPr>
            <w:cnfStyle w:val="001000000000" w:firstRow="0" w:lastRow="0" w:firstColumn="1" w:lastColumn="0" w:oddVBand="0" w:evenVBand="0" w:oddHBand="0" w:evenHBand="0" w:firstRowFirstColumn="0" w:firstRowLastColumn="0" w:lastRowFirstColumn="0" w:lastRowLastColumn="0"/>
            <w:tcW w:w="2140" w:type="dxa"/>
          </w:tcPr>
          <w:p w:rsidR="00CC47C1" w:rsidRPr="005F204E" w:rsidRDefault="00CC47C1" w:rsidP="00CC47C1">
            <w:pPr>
              <w:spacing w:line="276" w:lineRule="auto"/>
              <w:ind w:left="0"/>
              <w:jc w:val="both"/>
              <w:rPr>
                <w:rFonts w:ascii="Cambria" w:hAnsi="Cambria" w:cstheme="majorBidi"/>
                <w:shd w:val="clear" w:color="auto" w:fill="FFFFFF"/>
              </w:rPr>
            </w:pPr>
            <w:r w:rsidRPr="005F204E">
              <w:rPr>
                <w:rFonts w:ascii="Cambria" w:hAnsi="Cambria" w:cstheme="majorBidi"/>
                <w:shd w:val="clear" w:color="auto" w:fill="FFFFFF"/>
              </w:rPr>
              <w:t xml:space="preserve">Basic </w:t>
            </w:r>
          </w:p>
        </w:tc>
        <w:tc>
          <w:tcPr>
            <w:tcW w:w="2181" w:type="dxa"/>
          </w:tcPr>
          <w:p w:rsidR="00CC47C1" w:rsidRPr="005F204E" w:rsidRDefault="00CC47C1" w:rsidP="00CC47C1">
            <w:pPr>
              <w:spacing w:line="276" w:lineRule="auto"/>
              <w:ind w:left="-391"/>
              <w:jc w:val="center"/>
              <w:cnfStyle w:val="000000000000" w:firstRow="0" w:lastRow="0" w:firstColumn="0" w:lastColumn="0" w:oddVBand="0" w:evenVBand="0" w:oddHBand="0" w:evenHBand="0" w:firstRowFirstColumn="0" w:firstRowLastColumn="0" w:lastRowFirstColumn="0" w:lastRowLastColumn="0"/>
              <w:rPr>
                <w:rFonts w:ascii="Cambria" w:hAnsi="Cambria" w:cstheme="majorBidi"/>
                <w:shd w:val="clear" w:color="auto" w:fill="FFFFFF"/>
              </w:rPr>
            </w:pPr>
            <w:r w:rsidRPr="005F204E">
              <w:rPr>
                <w:rFonts w:ascii="Cambria" w:hAnsi="Cambria" w:cstheme="majorBidi"/>
                <w:shd w:val="clear" w:color="auto" w:fill="FFFFFF"/>
              </w:rPr>
              <w:t>18</w:t>
            </w:r>
          </w:p>
        </w:tc>
        <w:tc>
          <w:tcPr>
            <w:tcW w:w="2013" w:type="dxa"/>
          </w:tcPr>
          <w:p w:rsidR="00CC47C1" w:rsidRPr="005F204E" w:rsidRDefault="00CC47C1" w:rsidP="00CC47C1">
            <w:pPr>
              <w:spacing w:line="276" w:lineRule="auto"/>
              <w:ind w:left="-391"/>
              <w:jc w:val="center"/>
              <w:cnfStyle w:val="000000000000" w:firstRow="0" w:lastRow="0" w:firstColumn="0" w:lastColumn="0" w:oddVBand="0" w:evenVBand="0" w:oddHBand="0" w:evenHBand="0" w:firstRowFirstColumn="0" w:firstRowLastColumn="0" w:lastRowFirstColumn="0" w:lastRowLastColumn="0"/>
              <w:rPr>
                <w:rFonts w:ascii="Cambria" w:hAnsi="Cambria" w:cstheme="majorBidi"/>
                <w:shd w:val="clear" w:color="auto" w:fill="FFFFFF"/>
              </w:rPr>
            </w:pPr>
            <w:r w:rsidRPr="005F204E">
              <w:rPr>
                <w:rFonts w:ascii="Cambria" w:hAnsi="Cambria" w:cstheme="majorBidi"/>
                <w:shd w:val="clear" w:color="auto" w:fill="FFFFFF"/>
              </w:rPr>
              <w:t>13</w:t>
            </w:r>
          </w:p>
        </w:tc>
        <w:tc>
          <w:tcPr>
            <w:tcW w:w="1032" w:type="dxa"/>
          </w:tcPr>
          <w:p w:rsidR="00CC47C1" w:rsidRPr="005F204E" w:rsidRDefault="00CC47C1" w:rsidP="00CC47C1">
            <w:pPr>
              <w:spacing w:line="276" w:lineRule="auto"/>
              <w:ind w:left="-391"/>
              <w:jc w:val="center"/>
              <w:cnfStyle w:val="000000000000" w:firstRow="0" w:lastRow="0" w:firstColumn="0" w:lastColumn="0" w:oddVBand="0" w:evenVBand="0" w:oddHBand="0" w:evenHBand="0" w:firstRowFirstColumn="0" w:firstRowLastColumn="0" w:lastRowFirstColumn="0" w:lastRowLastColumn="0"/>
              <w:rPr>
                <w:rFonts w:ascii="Cambria" w:hAnsi="Cambria" w:cstheme="majorBidi"/>
                <w:shd w:val="clear" w:color="auto" w:fill="FFFFFF"/>
              </w:rPr>
            </w:pPr>
            <w:r w:rsidRPr="005F204E">
              <w:rPr>
                <w:rFonts w:ascii="Cambria" w:hAnsi="Cambria" w:cstheme="majorBidi"/>
                <w:shd w:val="clear" w:color="auto" w:fill="FFFFFF"/>
              </w:rPr>
              <w:t>31</w:t>
            </w:r>
          </w:p>
        </w:tc>
      </w:tr>
      <w:tr w:rsidR="00CC47C1" w:rsidRPr="00D143DE" w:rsidTr="008F7279">
        <w:trPr>
          <w:trHeight w:val="394"/>
        </w:trPr>
        <w:tc>
          <w:tcPr>
            <w:cnfStyle w:val="001000000000" w:firstRow="0" w:lastRow="0" w:firstColumn="1" w:lastColumn="0" w:oddVBand="0" w:evenVBand="0" w:oddHBand="0" w:evenHBand="0" w:firstRowFirstColumn="0" w:firstRowLastColumn="0" w:lastRowFirstColumn="0" w:lastRowLastColumn="0"/>
            <w:tcW w:w="2140" w:type="dxa"/>
          </w:tcPr>
          <w:p w:rsidR="00CC47C1" w:rsidRPr="005F204E" w:rsidRDefault="00CC47C1" w:rsidP="00CC47C1">
            <w:pPr>
              <w:spacing w:line="276" w:lineRule="auto"/>
              <w:ind w:left="0"/>
              <w:jc w:val="both"/>
              <w:rPr>
                <w:rFonts w:ascii="Cambria" w:hAnsi="Cambria" w:cstheme="majorBidi"/>
                <w:shd w:val="clear" w:color="auto" w:fill="FFFFFF"/>
              </w:rPr>
            </w:pPr>
            <w:r w:rsidRPr="005F204E">
              <w:rPr>
                <w:rFonts w:ascii="Cambria" w:hAnsi="Cambria" w:cstheme="majorBidi"/>
                <w:shd w:val="clear" w:color="auto" w:fill="FFFFFF"/>
              </w:rPr>
              <w:t>Clinical</w:t>
            </w:r>
          </w:p>
        </w:tc>
        <w:tc>
          <w:tcPr>
            <w:tcW w:w="2181" w:type="dxa"/>
          </w:tcPr>
          <w:p w:rsidR="00CC47C1" w:rsidRPr="005F204E" w:rsidRDefault="00CC47C1" w:rsidP="00CC47C1">
            <w:pPr>
              <w:spacing w:line="276" w:lineRule="auto"/>
              <w:ind w:left="-391"/>
              <w:jc w:val="center"/>
              <w:cnfStyle w:val="000000000000" w:firstRow="0" w:lastRow="0" w:firstColumn="0" w:lastColumn="0" w:oddVBand="0" w:evenVBand="0" w:oddHBand="0" w:evenHBand="0" w:firstRowFirstColumn="0" w:firstRowLastColumn="0" w:lastRowFirstColumn="0" w:lastRowLastColumn="0"/>
              <w:rPr>
                <w:rFonts w:ascii="Cambria" w:hAnsi="Cambria" w:cstheme="majorBidi"/>
                <w:shd w:val="clear" w:color="auto" w:fill="FFFFFF"/>
              </w:rPr>
            </w:pPr>
            <w:r w:rsidRPr="005F204E">
              <w:rPr>
                <w:rFonts w:ascii="Cambria" w:hAnsi="Cambria" w:cstheme="majorBidi"/>
                <w:shd w:val="clear" w:color="auto" w:fill="FFFFFF"/>
              </w:rPr>
              <w:t>4</w:t>
            </w:r>
          </w:p>
        </w:tc>
        <w:tc>
          <w:tcPr>
            <w:tcW w:w="2013" w:type="dxa"/>
          </w:tcPr>
          <w:p w:rsidR="00CC47C1" w:rsidRPr="005F204E" w:rsidRDefault="00CC47C1" w:rsidP="00CC47C1">
            <w:pPr>
              <w:spacing w:line="276" w:lineRule="auto"/>
              <w:ind w:left="-391"/>
              <w:jc w:val="center"/>
              <w:cnfStyle w:val="000000000000" w:firstRow="0" w:lastRow="0" w:firstColumn="0" w:lastColumn="0" w:oddVBand="0" w:evenVBand="0" w:oddHBand="0" w:evenHBand="0" w:firstRowFirstColumn="0" w:firstRowLastColumn="0" w:lastRowFirstColumn="0" w:lastRowLastColumn="0"/>
              <w:rPr>
                <w:rFonts w:ascii="Cambria" w:hAnsi="Cambria" w:cstheme="majorBidi"/>
                <w:shd w:val="clear" w:color="auto" w:fill="FFFFFF"/>
              </w:rPr>
            </w:pPr>
            <w:r w:rsidRPr="005F204E">
              <w:rPr>
                <w:rFonts w:ascii="Cambria" w:hAnsi="Cambria" w:cstheme="majorBidi"/>
                <w:shd w:val="clear" w:color="auto" w:fill="FFFFFF"/>
              </w:rPr>
              <w:t>1</w:t>
            </w:r>
          </w:p>
        </w:tc>
        <w:tc>
          <w:tcPr>
            <w:tcW w:w="1032" w:type="dxa"/>
          </w:tcPr>
          <w:p w:rsidR="00CC47C1" w:rsidRPr="005F204E" w:rsidRDefault="00CC47C1" w:rsidP="00CC47C1">
            <w:pPr>
              <w:spacing w:line="276" w:lineRule="auto"/>
              <w:ind w:left="-391"/>
              <w:jc w:val="center"/>
              <w:cnfStyle w:val="000000000000" w:firstRow="0" w:lastRow="0" w:firstColumn="0" w:lastColumn="0" w:oddVBand="0" w:evenVBand="0" w:oddHBand="0" w:evenHBand="0" w:firstRowFirstColumn="0" w:firstRowLastColumn="0" w:lastRowFirstColumn="0" w:lastRowLastColumn="0"/>
              <w:rPr>
                <w:rFonts w:ascii="Cambria" w:hAnsi="Cambria" w:cstheme="majorBidi"/>
                <w:shd w:val="clear" w:color="auto" w:fill="FFFFFF"/>
              </w:rPr>
            </w:pPr>
            <w:r w:rsidRPr="005F204E">
              <w:rPr>
                <w:rFonts w:ascii="Cambria" w:hAnsi="Cambria" w:cstheme="majorBidi"/>
                <w:shd w:val="clear" w:color="auto" w:fill="FFFFFF"/>
              </w:rPr>
              <w:t>5</w:t>
            </w:r>
          </w:p>
        </w:tc>
      </w:tr>
      <w:tr w:rsidR="00CC47C1" w:rsidRPr="00D143DE" w:rsidTr="008F7279">
        <w:trPr>
          <w:trHeight w:val="374"/>
        </w:trPr>
        <w:tc>
          <w:tcPr>
            <w:cnfStyle w:val="001000000000" w:firstRow="0" w:lastRow="0" w:firstColumn="1" w:lastColumn="0" w:oddVBand="0" w:evenVBand="0" w:oddHBand="0" w:evenHBand="0" w:firstRowFirstColumn="0" w:firstRowLastColumn="0" w:lastRowFirstColumn="0" w:lastRowLastColumn="0"/>
            <w:tcW w:w="2140" w:type="dxa"/>
          </w:tcPr>
          <w:p w:rsidR="00CC47C1" w:rsidRPr="005F204E" w:rsidRDefault="00CC47C1" w:rsidP="00CC47C1">
            <w:pPr>
              <w:spacing w:line="276" w:lineRule="auto"/>
              <w:ind w:left="0"/>
              <w:jc w:val="both"/>
              <w:rPr>
                <w:rFonts w:ascii="Cambria" w:hAnsi="Cambria" w:cstheme="majorBidi"/>
                <w:shd w:val="clear" w:color="auto" w:fill="FFFFFF"/>
              </w:rPr>
            </w:pPr>
            <w:r w:rsidRPr="005F204E">
              <w:rPr>
                <w:rFonts w:ascii="Cambria" w:hAnsi="Cambria" w:cstheme="majorBidi"/>
                <w:shd w:val="clear" w:color="auto" w:fill="FFFFFF"/>
              </w:rPr>
              <w:t>Public Health</w:t>
            </w:r>
          </w:p>
        </w:tc>
        <w:tc>
          <w:tcPr>
            <w:tcW w:w="2181" w:type="dxa"/>
          </w:tcPr>
          <w:p w:rsidR="00CC47C1" w:rsidRPr="005F204E" w:rsidRDefault="00CC47C1" w:rsidP="00CC47C1">
            <w:pPr>
              <w:spacing w:line="276" w:lineRule="auto"/>
              <w:ind w:left="-391"/>
              <w:jc w:val="center"/>
              <w:cnfStyle w:val="000000000000" w:firstRow="0" w:lastRow="0" w:firstColumn="0" w:lastColumn="0" w:oddVBand="0" w:evenVBand="0" w:oddHBand="0" w:evenHBand="0" w:firstRowFirstColumn="0" w:firstRowLastColumn="0" w:lastRowFirstColumn="0" w:lastRowLastColumn="0"/>
              <w:rPr>
                <w:rFonts w:ascii="Cambria" w:hAnsi="Cambria" w:cstheme="majorBidi"/>
                <w:shd w:val="clear" w:color="auto" w:fill="FFFFFF"/>
              </w:rPr>
            </w:pPr>
            <w:r w:rsidRPr="005F204E">
              <w:rPr>
                <w:rFonts w:ascii="Cambria" w:hAnsi="Cambria" w:cstheme="majorBidi"/>
                <w:shd w:val="clear" w:color="auto" w:fill="FFFFFF"/>
              </w:rPr>
              <w:t>8</w:t>
            </w:r>
          </w:p>
        </w:tc>
        <w:tc>
          <w:tcPr>
            <w:tcW w:w="2013" w:type="dxa"/>
          </w:tcPr>
          <w:p w:rsidR="00CC47C1" w:rsidRPr="005F204E" w:rsidRDefault="00CC47C1" w:rsidP="00CC47C1">
            <w:pPr>
              <w:spacing w:line="276" w:lineRule="auto"/>
              <w:ind w:left="-391"/>
              <w:jc w:val="center"/>
              <w:cnfStyle w:val="000000000000" w:firstRow="0" w:lastRow="0" w:firstColumn="0" w:lastColumn="0" w:oddVBand="0" w:evenVBand="0" w:oddHBand="0" w:evenHBand="0" w:firstRowFirstColumn="0" w:firstRowLastColumn="0" w:lastRowFirstColumn="0" w:lastRowLastColumn="0"/>
              <w:rPr>
                <w:rFonts w:ascii="Cambria" w:hAnsi="Cambria" w:cstheme="majorBidi"/>
                <w:shd w:val="clear" w:color="auto" w:fill="FFFFFF"/>
              </w:rPr>
            </w:pPr>
            <w:r w:rsidRPr="005F204E">
              <w:rPr>
                <w:rFonts w:ascii="Cambria" w:hAnsi="Cambria" w:cstheme="majorBidi"/>
                <w:shd w:val="clear" w:color="auto" w:fill="FFFFFF"/>
              </w:rPr>
              <w:t>4</w:t>
            </w:r>
          </w:p>
        </w:tc>
        <w:tc>
          <w:tcPr>
            <w:tcW w:w="1032" w:type="dxa"/>
          </w:tcPr>
          <w:p w:rsidR="00CC47C1" w:rsidRPr="005F204E" w:rsidRDefault="00CC47C1" w:rsidP="00CC47C1">
            <w:pPr>
              <w:spacing w:line="276" w:lineRule="auto"/>
              <w:ind w:left="-391"/>
              <w:jc w:val="center"/>
              <w:cnfStyle w:val="000000000000" w:firstRow="0" w:lastRow="0" w:firstColumn="0" w:lastColumn="0" w:oddVBand="0" w:evenVBand="0" w:oddHBand="0" w:evenHBand="0" w:firstRowFirstColumn="0" w:firstRowLastColumn="0" w:lastRowFirstColumn="0" w:lastRowLastColumn="0"/>
              <w:rPr>
                <w:rFonts w:ascii="Cambria" w:hAnsi="Cambria" w:cstheme="majorBidi"/>
                <w:shd w:val="clear" w:color="auto" w:fill="FFFFFF"/>
              </w:rPr>
            </w:pPr>
            <w:r w:rsidRPr="005F204E">
              <w:rPr>
                <w:rFonts w:ascii="Cambria" w:hAnsi="Cambria" w:cstheme="majorBidi"/>
                <w:shd w:val="clear" w:color="auto" w:fill="FFFFFF"/>
              </w:rPr>
              <w:t>12</w:t>
            </w:r>
          </w:p>
        </w:tc>
      </w:tr>
    </w:tbl>
    <w:p w:rsidR="00CC47C1" w:rsidRPr="004264CD" w:rsidRDefault="00CC47C1" w:rsidP="00DD3F95">
      <w:pPr>
        <w:rPr>
          <w:rFonts w:ascii="Cambria" w:hAnsi="Cambria" w:cs="Arial"/>
          <w:shd w:val="clear" w:color="auto" w:fill="F8F8F8"/>
        </w:rPr>
      </w:pPr>
    </w:p>
    <w:sectPr w:rsidR="00CC47C1" w:rsidRPr="004264CD" w:rsidSect="00DD3F95">
      <w:footerReference w:type="default" r:id="rId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7C1" w:rsidRDefault="00CC47C1" w:rsidP="005A6E8F">
      <w:pPr>
        <w:spacing w:after="0" w:line="240" w:lineRule="auto"/>
      </w:pPr>
      <w:r>
        <w:separator/>
      </w:r>
    </w:p>
  </w:endnote>
  <w:endnote w:type="continuationSeparator" w:id="0">
    <w:p w:rsidR="00CC47C1" w:rsidRDefault="00CC47C1" w:rsidP="005A6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099260"/>
      <w:docPartObj>
        <w:docPartGallery w:val="Page Numbers (Bottom of Page)"/>
        <w:docPartUnique/>
      </w:docPartObj>
    </w:sdtPr>
    <w:sdtEndPr>
      <w:rPr>
        <w:noProof/>
      </w:rPr>
    </w:sdtEndPr>
    <w:sdtContent>
      <w:p w:rsidR="00CC47C1" w:rsidRDefault="00CC47C1">
        <w:pPr>
          <w:pStyle w:val="Footer"/>
          <w:jc w:val="center"/>
        </w:pPr>
        <w:r>
          <w:fldChar w:fldCharType="begin"/>
        </w:r>
        <w:r>
          <w:instrText xml:space="preserve"> PAGE   \* MERGEFORMAT </w:instrText>
        </w:r>
        <w:r>
          <w:fldChar w:fldCharType="separate"/>
        </w:r>
        <w:r w:rsidR="00CA3751">
          <w:rPr>
            <w:noProof/>
          </w:rPr>
          <w:t>2</w:t>
        </w:r>
        <w:r>
          <w:rPr>
            <w:noProof/>
          </w:rPr>
          <w:fldChar w:fldCharType="end"/>
        </w:r>
      </w:p>
    </w:sdtContent>
  </w:sdt>
  <w:p w:rsidR="00CC47C1" w:rsidRDefault="00CC47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7C1" w:rsidRDefault="00CC47C1" w:rsidP="005A6E8F">
      <w:pPr>
        <w:spacing w:after="0" w:line="240" w:lineRule="auto"/>
      </w:pPr>
      <w:r>
        <w:separator/>
      </w:r>
    </w:p>
  </w:footnote>
  <w:footnote w:type="continuationSeparator" w:id="0">
    <w:p w:rsidR="00CC47C1" w:rsidRDefault="00CC47C1" w:rsidP="005A6E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M0MDaxtDCyMDQwNTRT0lEKTi0uzszPAykwrQUAq66XeywAAAA="/>
  </w:docVars>
  <w:rsids>
    <w:rsidRoot w:val="00716886"/>
    <w:rsid w:val="0005443E"/>
    <w:rsid w:val="000C0949"/>
    <w:rsid w:val="000D50F8"/>
    <w:rsid w:val="00157A2D"/>
    <w:rsid w:val="00175B20"/>
    <w:rsid w:val="001C7849"/>
    <w:rsid w:val="0026305F"/>
    <w:rsid w:val="002C04FF"/>
    <w:rsid w:val="003524EC"/>
    <w:rsid w:val="0038677D"/>
    <w:rsid w:val="00407BBB"/>
    <w:rsid w:val="00412C51"/>
    <w:rsid w:val="004264CD"/>
    <w:rsid w:val="00441C7B"/>
    <w:rsid w:val="00475AA3"/>
    <w:rsid w:val="004A0C50"/>
    <w:rsid w:val="004D5C69"/>
    <w:rsid w:val="00506902"/>
    <w:rsid w:val="005933C5"/>
    <w:rsid w:val="0059428C"/>
    <w:rsid w:val="005A6E8F"/>
    <w:rsid w:val="00662986"/>
    <w:rsid w:val="00716886"/>
    <w:rsid w:val="008D3080"/>
    <w:rsid w:val="008F7279"/>
    <w:rsid w:val="0095290E"/>
    <w:rsid w:val="00AA0634"/>
    <w:rsid w:val="00AB220A"/>
    <w:rsid w:val="00AB252C"/>
    <w:rsid w:val="00B048EC"/>
    <w:rsid w:val="00BE2CF3"/>
    <w:rsid w:val="00BF7776"/>
    <w:rsid w:val="00C05436"/>
    <w:rsid w:val="00C22C24"/>
    <w:rsid w:val="00C23780"/>
    <w:rsid w:val="00C444F2"/>
    <w:rsid w:val="00CA0497"/>
    <w:rsid w:val="00CA3751"/>
    <w:rsid w:val="00CC47C1"/>
    <w:rsid w:val="00D40652"/>
    <w:rsid w:val="00DA418E"/>
    <w:rsid w:val="00DD3F95"/>
    <w:rsid w:val="00E06F20"/>
    <w:rsid w:val="00EF17B6"/>
    <w:rsid w:val="00EF2097"/>
    <w:rsid w:val="00EF2459"/>
    <w:rsid w:val="00F7439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7E4A14-8370-4B84-9B6A-D734C85BD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76" w:lineRule="auto"/>
        <w:ind w:left="-284" w:right="-47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776"/>
  </w:style>
  <w:style w:type="paragraph" w:styleId="Heading1">
    <w:name w:val="heading 1"/>
    <w:basedOn w:val="Normal"/>
    <w:link w:val="Heading1Char"/>
    <w:uiPriority w:val="9"/>
    <w:qFormat/>
    <w:rsid w:val="00475AA3"/>
    <w:pPr>
      <w:spacing w:before="100" w:beforeAutospacing="1" w:after="100" w:afterAutospacing="1" w:line="240" w:lineRule="auto"/>
      <w:ind w:left="0" w:right="0"/>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qcrefinedby">
    <w:name w:val="sqcrefinedby"/>
    <w:basedOn w:val="DefaultParagraphFont"/>
    <w:rsid w:val="00BF7776"/>
  </w:style>
  <w:style w:type="paragraph" w:styleId="Header">
    <w:name w:val="header"/>
    <w:basedOn w:val="Normal"/>
    <w:link w:val="HeaderChar"/>
    <w:uiPriority w:val="99"/>
    <w:unhideWhenUsed/>
    <w:rsid w:val="005A6E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6E8F"/>
  </w:style>
  <w:style w:type="paragraph" w:styleId="Footer">
    <w:name w:val="footer"/>
    <w:basedOn w:val="Normal"/>
    <w:link w:val="FooterChar"/>
    <w:uiPriority w:val="99"/>
    <w:unhideWhenUsed/>
    <w:rsid w:val="005A6E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6E8F"/>
  </w:style>
  <w:style w:type="character" w:customStyle="1" w:styleId="Heading1Char">
    <w:name w:val="Heading 1 Char"/>
    <w:basedOn w:val="DefaultParagraphFont"/>
    <w:link w:val="Heading1"/>
    <w:uiPriority w:val="9"/>
    <w:rsid w:val="00475AA3"/>
    <w:rPr>
      <w:rFonts w:ascii="Times New Roman" w:eastAsia="Times New Roman" w:hAnsi="Times New Roman" w:cs="Times New Roman"/>
      <w:b/>
      <w:bCs/>
      <w:kern w:val="36"/>
      <w:sz w:val="48"/>
      <w:szCs w:val="48"/>
      <w:lang w:eastAsia="en-GB"/>
    </w:rPr>
  </w:style>
  <w:style w:type="table" w:styleId="TableGrid">
    <w:name w:val="Table Grid"/>
    <w:basedOn w:val="TableNormal"/>
    <w:uiPriority w:val="39"/>
    <w:rsid w:val="00475AA3"/>
    <w:pPr>
      <w:spacing w:after="0" w:line="240" w:lineRule="auto"/>
      <w:ind w:left="0" w:righ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75AA3"/>
    <w:rPr>
      <w:color w:val="0563C1" w:themeColor="hyperlink"/>
      <w:u w:val="single"/>
    </w:rPr>
  </w:style>
  <w:style w:type="character" w:customStyle="1" w:styleId="apple-converted-space">
    <w:name w:val="apple-converted-space"/>
    <w:basedOn w:val="DefaultParagraphFont"/>
    <w:rsid w:val="00475AA3"/>
  </w:style>
  <w:style w:type="character" w:customStyle="1" w:styleId="label">
    <w:name w:val="label"/>
    <w:basedOn w:val="DefaultParagraphFont"/>
    <w:rsid w:val="00475AA3"/>
  </w:style>
  <w:style w:type="character" w:customStyle="1" w:styleId="databold">
    <w:name w:val="data_bold"/>
    <w:basedOn w:val="DefaultParagraphFont"/>
    <w:rsid w:val="00475AA3"/>
  </w:style>
  <w:style w:type="character" w:customStyle="1" w:styleId="highlight">
    <w:name w:val="highlight"/>
    <w:basedOn w:val="DefaultParagraphFont"/>
    <w:rsid w:val="00475AA3"/>
  </w:style>
  <w:style w:type="table" w:styleId="GridTable1Light">
    <w:name w:val="Grid Table 1 Light"/>
    <w:basedOn w:val="TableNormal"/>
    <w:uiPriority w:val="46"/>
    <w:rsid w:val="00CC47C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0C09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9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6561</Words>
  <Characters>37398</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University of Edinburgh</Company>
  <LinksUpToDate>false</LinksUpToDate>
  <CharactersWithSpaces>43872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MANSOORI Parisa</dc:creator>
  <cp:keywords/>
  <dc:description/>
  <cp:lastModifiedBy>ATHERTON Rachael</cp:lastModifiedBy>
  <cp:revision>2</cp:revision>
  <dcterms:created xsi:type="dcterms:W3CDTF">2018-07-05T16:25:00Z</dcterms:created>
  <dcterms:modified xsi:type="dcterms:W3CDTF">2018-07-05T16:25:00Z</dcterms:modified>
</cp:coreProperties>
</file>